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643E" w14:textId="0631675B" w:rsidR="00A241A8" w:rsidRDefault="001D2DD1" w:rsidP="00C52E09">
      <w:pPr>
        <w:tabs>
          <w:tab w:val="right" w:pos="8931"/>
        </w:tabs>
      </w:pPr>
      <w:r>
        <w:rPr>
          <w:noProof/>
        </w:rPr>
        <mc:AlternateContent>
          <mc:Choice Requires="wps">
            <w:drawing>
              <wp:anchor distT="0" distB="0" distL="114300" distR="114300" simplePos="0" relativeHeight="251659264" behindDoc="0" locked="0" layoutInCell="1" allowOverlap="1" wp14:anchorId="5D417B87" wp14:editId="0C5FCFA0">
                <wp:simplePos x="0" y="0"/>
                <wp:positionH relativeFrom="column">
                  <wp:posOffset>4457700</wp:posOffset>
                </wp:positionH>
                <wp:positionV relativeFrom="paragraph">
                  <wp:posOffset>114300</wp:posOffset>
                </wp:positionV>
                <wp:extent cx="1140460" cy="3429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114046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41226" w14:textId="503CEB71" w:rsidR="0034744F" w:rsidRDefault="0034744F">
                            <w:r>
                              <w:t>9 janvier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351pt;margin-top:9pt;width:89.8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" filled="f" stroked="f">
                <v:textbox>
                  <w:txbxContent>
                    <w:p w14:paraId="27941226" w14:textId="503CEB71" w:rsidR="0034744F" w:rsidRDefault="0034744F">
                      <w:r>
                        <w:t>9 janvier 2018</w:t>
                      </w:r>
                    </w:p>
                  </w:txbxContent>
                </v:textbox>
                <w10:wrap type="square"/>
              </v:shape>
            </w:pict>
          </mc:Fallback>
        </mc:AlternateContent>
      </w:r>
      <w:r w:rsidR="00693E7D">
        <w:rPr>
          <w:noProof/>
        </w:rPr>
        <w:drawing>
          <wp:anchor distT="0" distB="0" distL="114300" distR="114300" simplePos="0" relativeHeight="251660288" behindDoc="0" locked="0" layoutInCell="1" allowOverlap="1" wp14:anchorId="4744A00C" wp14:editId="3056D145">
            <wp:simplePos x="0" y="0"/>
            <wp:positionH relativeFrom="column">
              <wp:posOffset>0</wp:posOffset>
            </wp:positionH>
            <wp:positionV relativeFrom="paragraph">
              <wp:posOffset>-457200</wp:posOffset>
            </wp:positionV>
            <wp:extent cx="2197735" cy="1256030"/>
            <wp:effectExtent l="0" t="0" r="1206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735" cy="1256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2E09" w:rsidRPr="00C52E09">
        <w:t xml:space="preserve"> </w:t>
      </w:r>
      <w:r w:rsidR="00D55641">
        <w:tab/>
      </w:r>
    </w:p>
    <w:p w14:paraId="4324F5C5" w14:textId="55A51894" w:rsidR="00C52E09" w:rsidRDefault="00C52E09" w:rsidP="00C52E09">
      <w:pPr>
        <w:tabs>
          <w:tab w:val="right" w:pos="8931"/>
        </w:tabs>
      </w:pPr>
    </w:p>
    <w:p w14:paraId="4E5B491D" w14:textId="77777777" w:rsidR="00243511" w:rsidRDefault="00243511" w:rsidP="00FD488D">
      <w:pPr>
        <w:tabs>
          <w:tab w:val="right" w:pos="8931"/>
        </w:tabs>
      </w:pPr>
    </w:p>
    <w:p w14:paraId="5ECE837A" w14:textId="0BCE9F31" w:rsidR="001D2DD1" w:rsidRDefault="001D2DD1" w:rsidP="001D2DD1">
      <w:pPr>
        <w:tabs>
          <w:tab w:val="right" w:pos="8931"/>
        </w:tabs>
      </w:pPr>
      <w:r>
        <w:t>018 / 18h09</w:t>
      </w:r>
    </w:p>
    <w:p w14:paraId="3396D5DC" w14:textId="00CDB7F7" w:rsidR="001D2DD1" w:rsidRDefault="001D2DD1" w:rsidP="001D2DD1">
      <w:pPr>
        <w:tabs>
          <w:tab w:val="right" w:pos="8931"/>
        </w:tabs>
      </w:pPr>
    </w:p>
    <w:p w14:paraId="58CF564E" w14:textId="77777777" w:rsidR="00693E7D" w:rsidRDefault="00693E7D" w:rsidP="00C52E09">
      <w:pPr>
        <w:tabs>
          <w:tab w:val="right" w:pos="8931"/>
        </w:tabs>
        <w:jc w:val="center"/>
        <w:rPr>
          <w:b/>
          <w:sz w:val="32"/>
          <w:szCs w:val="32"/>
        </w:rPr>
      </w:pPr>
    </w:p>
    <w:p w14:paraId="252ECE19" w14:textId="77777777" w:rsidR="00693E7D" w:rsidRDefault="00693E7D" w:rsidP="00C52E09">
      <w:pPr>
        <w:tabs>
          <w:tab w:val="right" w:pos="8931"/>
        </w:tabs>
        <w:jc w:val="center"/>
        <w:rPr>
          <w:b/>
          <w:sz w:val="32"/>
          <w:szCs w:val="32"/>
        </w:rPr>
      </w:pPr>
    </w:p>
    <w:p w14:paraId="0FA54DCE" w14:textId="77777777" w:rsidR="00693E7D" w:rsidRDefault="00693E7D" w:rsidP="00C52E09">
      <w:pPr>
        <w:tabs>
          <w:tab w:val="right" w:pos="8931"/>
        </w:tabs>
        <w:jc w:val="center"/>
        <w:rPr>
          <w:b/>
          <w:sz w:val="32"/>
          <w:szCs w:val="32"/>
        </w:rPr>
      </w:pPr>
    </w:p>
    <w:p w14:paraId="4088F746" w14:textId="4AD6CBBA" w:rsidR="00C52E09" w:rsidRDefault="00A03B78" w:rsidP="00C52E09">
      <w:pPr>
        <w:tabs>
          <w:tab w:val="right" w:pos="8931"/>
        </w:tabs>
        <w:jc w:val="center"/>
        <w:rPr>
          <w:b/>
          <w:sz w:val="32"/>
          <w:szCs w:val="32"/>
        </w:rPr>
      </w:pPr>
      <w:r w:rsidRPr="005B3DBD">
        <w:rPr>
          <w:b/>
          <w:sz w:val="32"/>
          <w:szCs w:val="32"/>
        </w:rPr>
        <w:t>Qualification des structures professionnelle</w:t>
      </w:r>
    </w:p>
    <w:p w14:paraId="4640E3AF" w14:textId="32259C21" w:rsidR="00C3348C" w:rsidRPr="005B3DBD" w:rsidRDefault="00C3348C" w:rsidP="00C52E09">
      <w:pPr>
        <w:tabs>
          <w:tab w:val="right" w:pos="8931"/>
        </w:tabs>
        <w:jc w:val="center"/>
        <w:rPr>
          <w:b/>
          <w:sz w:val="32"/>
          <w:szCs w:val="32"/>
        </w:rPr>
      </w:pPr>
      <w:r>
        <w:rPr>
          <w:b/>
          <w:sz w:val="32"/>
          <w:szCs w:val="32"/>
        </w:rPr>
        <w:t>Phase II de la concertation</w:t>
      </w:r>
    </w:p>
    <w:p w14:paraId="7F018D21" w14:textId="49EB2800" w:rsidR="00DF6314" w:rsidRPr="005B3DBD" w:rsidRDefault="00A03B78" w:rsidP="00C52E09">
      <w:pPr>
        <w:tabs>
          <w:tab w:val="right" w:pos="8931"/>
        </w:tabs>
        <w:jc w:val="center"/>
        <w:rPr>
          <w:b/>
          <w:sz w:val="28"/>
          <w:szCs w:val="28"/>
        </w:rPr>
      </w:pPr>
      <w:r w:rsidRPr="005B3DBD">
        <w:rPr>
          <w:b/>
          <w:sz w:val="28"/>
          <w:szCs w:val="28"/>
        </w:rPr>
        <w:t>Synthèse</w:t>
      </w:r>
      <w:r w:rsidR="00C52E09" w:rsidRPr="005B3DBD">
        <w:rPr>
          <w:b/>
          <w:sz w:val="28"/>
          <w:szCs w:val="28"/>
        </w:rPr>
        <w:t xml:space="preserve"> </w:t>
      </w:r>
      <w:bookmarkStart w:id="0" w:name="_GoBack"/>
      <w:bookmarkEnd w:id="0"/>
    </w:p>
    <w:p w14:paraId="01E53AEA" w14:textId="77777777" w:rsidR="00C52E09" w:rsidRDefault="00C52E09" w:rsidP="00C52E09">
      <w:pPr>
        <w:tabs>
          <w:tab w:val="right" w:pos="8931"/>
        </w:tabs>
      </w:pPr>
    </w:p>
    <w:p w14:paraId="618D7E14" w14:textId="2A022975" w:rsidR="007763C7" w:rsidRPr="00C47165" w:rsidRDefault="00637598" w:rsidP="00637598">
      <w:pPr>
        <w:pStyle w:val="Titre1"/>
        <w:rPr>
          <w:rFonts w:ascii="Comic Sans MS" w:hAnsi="Comic Sans MS" w:hint="eastAsia"/>
          <w:sz w:val="20"/>
          <w:szCs w:val="20"/>
        </w:rPr>
      </w:pPr>
      <w:r w:rsidRPr="00C47165">
        <w:rPr>
          <w:rFonts w:ascii="Comic Sans MS" w:hAnsi="Comic Sans MS"/>
          <w:sz w:val="20"/>
          <w:szCs w:val="20"/>
        </w:rPr>
        <w:t>Avant-propos</w:t>
      </w:r>
    </w:p>
    <w:p w14:paraId="0C2AA03B" w14:textId="65680275" w:rsidR="007763C7" w:rsidRPr="00C47165" w:rsidRDefault="002F58A4">
      <w:pPr>
        <w:rPr>
          <w:rFonts w:ascii="Comic Sans MS" w:hAnsi="Comic Sans MS" w:hint="eastAsia"/>
          <w:i/>
          <w:sz w:val="20"/>
          <w:szCs w:val="20"/>
        </w:rPr>
      </w:pPr>
      <w:r w:rsidRPr="00C47165">
        <w:rPr>
          <w:rFonts w:ascii="Comic Sans MS" w:hAnsi="Comic Sans MS"/>
          <w:i/>
          <w:sz w:val="20"/>
          <w:szCs w:val="20"/>
        </w:rPr>
        <w:t>Dès sa création, la tâche de l’OPQU a été de qualifier les urbaniste</w:t>
      </w:r>
      <w:r w:rsidR="00986121" w:rsidRPr="00C47165">
        <w:rPr>
          <w:rFonts w:ascii="Comic Sans MS" w:hAnsi="Comic Sans MS"/>
          <w:i/>
          <w:sz w:val="20"/>
          <w:szCs w:val="20"/>
        </w:rPr>
        <w:t xml:space="preserve">s, c’est-à-dire des personnes. </w:t>
      </w:r>
      <w:r w:rsidRPr="00C47165">
        <w:rPr>
          <w:rFonts w:ascii="Comic Sans MS" w:hAnsi="Comic Sans MS"/>
          <w:i/>
          <w:sz w:val="20"/>
          <w:szCs w:val="20"/>
        </w:rPr>
        <w:t>Cependant, très rapidement</w:t>
      </w:r>
      <w:r w:rsidR="00986121" w:rsidRPr="00C47165">
        <w:rPr>
          <w:rFonts w:ascii="Comic Sans MS" w:hAnsi="Comic Sans MS"/>
          <w:i/>
          <w:sz w:val="20"/>
          <w:szCs w:val="20"/>
        </w:rPr>
        <w:t xml:space="preserve">, des bureaux d’études </w:t>
      </w:r>
      <w:r w:rsidR="00FB0B6C" w:rsidRPr="00C47165">
        <w:rPr>
          <w:rFonts w:ascii="Comic Sans MS" w:hAnsi="Comic Sans MS"/>
          <w:i/>
          <w:sz w:val="20"/>
          <w:szCs w:val="20"/>
        </w:rPr>
        <w:t>ont demandé</w:t>
      </w:r>
      <w:r w:rsidR="007763C7" w:rsidRPr="00C47165">
        <w:rPr>
          <w:rFonts w:ascii="Comic Sans MS" w:hAnsi="Comic Sans MS"/>
          <w:i/>
          <w:sz w:val="20"/>
          <w:szCs w:val="20"/>
        </w:rPr>
        <w:t xml:space="preserve"> que soit </w:t>
      </w:r>
      <w:r w:rsidR="009612D5" w:rsidRPr="00C47165">
        <w:rPr>
          <w:rFonts w:ascii="Comic Sans MS" w:hAnsi="Comic Sans MS"/>
          <w:i/>
          <w:sz w:val="20"/>
          <w:szCs w:val="20"/>
        </w:rPr>
        <w:t xml:space="preserve">aussi </w:t>
      </w:r>
      <w:r w:rsidR="007763C7" w:rsidRPr="00C47165">
        <w:rPr>
          <w:rFonts w:ascii="Comic Sans MS" w:hAnsi="Comic Sans MS"/>
          <w:i/>
          <w:sz w:val="20"/>
          <w:szCs w:val="20"/>
        </w:rPr>
        <w:t>mise en place</w:t>
      </w:r>
      <w:r w:rsidR="00FB0B6C" w:rsidRPr="00C47165">
        <w:rPr>
          <w:rFonts w:ascii="Comic Sans MS" w:hAnsi="Comic Sans MS"/>
          <w:i/>
          <w:sz w:val="20"/>
          <w:szCs w:val="20"/>
        </w:rPr>
        <w:t xml:space="preserve"> une qualification des structures qui travaillent</w:t>
      </w:r>
      <w:r w:rsidR="008503B8" w:rsidRPr="00C47165">
        <w:rPr>
          <w:rFonts w:ascii="Comic Sans MS" w:hAnsi="Comic Sans MS"/>
          <w:i/>
          <w:sz w:val="20"/>
          <w:szCs w:val="20"/>
        </w:rPr>
        <w:t xml:space="preserve"> en urbanisme. </w:t>
      </w:r>
      <w:r w:rsidR="00AF780E" w:rsidRPr="00C47165">
        <w:rPr>
          <w:rFonts w:ascii="Comic Sans MS" w:hAnsi="Comic Sans MS"/>
          <w:i/>
          <w:sz w:val="20"/>
          <w:szCs w:val="20"/>
        </w:rPr>
        <w:t>En 2016, l’Office</w:t>
      </w:r>
      <w:r w:rsidR="00FB0B6C" w:rsidRPr="00C47165">
        <w:rPr>
          <w:rFonts w:ascii="Comic Sans MS" w:hAnsi="Comic Sans MS"/>
          <w:i/>
          <w:sz w:val="20"/>
          <w:szCs w:val="20"/>
        </w:rPr>
        <w:t xml:space="preserve"> a décidé</w:t>
      </w:r>
      <w:r w:rsidR="00AF780E" w:rsidRPr="00C47165">
        <w:rPr>
          <w:rFonts w:ascii="Comic Sans MS" w:hAnsi="Comic Sans MS"/>
          <w:i/>
          <w:sz w:val="20"/>
          <w:szCs w:val="20"/>
        </w:rPr>
        <w:t xml:space="preserve"> de mettre à l’étude une telle qualification.</w:t>
      </w:r>
    </w:p>
    <w:p w14:paraId="52F4AAB3" w14:textId="1B8C3353" w:rsidR="00C44BD8" w:rsidRPr="00C47165" w:rsidRDefault="000B65B0">
      <w:pPr>
        <w:rPr>
          <w:rFonts w:ascii="Comic Sans MS" w:hAnsi="Comic Sans MS" w:hint="eastAsia"/>
          <w:i/>
          <w:sz w:val="20"/>
          <w:szCs w:val="20"/>
        </w:rPr>
      </w:pPr>
      <w:r w:rsidRPr="00C47165">
        <w:rPr>
          <w:rFonts w:ascii="Comic Sans MS" w:hAnsi="Comic Sans MS"/>
          <w:i/>
          <w:sz w:val="20"/>
          <w:szCs w:val="20"/>
        </w:rPr>
        <w:t>Il a pour cela constitué</w:t>
      </w:r>
      <w:r w:rsidR="00117C05" w:rsidRPr="00C47165">
        <w:rPr>
          <w:rFonts w:ascii="Comic Sans MS" w:hAnsi="Comic Sans MS"/>
          <w:i/>
          <w:sz w:val="20"/>
          <w:szCs w:val="20"/>
        </w:rPr>
        <w:t xml:space="preserve"> un groupe de travail ad hoc </w:t>
      </w:r>
      <w:r w:rsidR="00A04D8B" w:rsidRPr="00C47165">
        <w:rPr>
          <w:rFonts w:ascii="Comic Sans MS" w:hAnsi="Comic Sans MS"/>
          <w:i/>
          <w:sz w:val="20"/>
          <w:szCs w:val="20"/>
        </w:rPr>
        <w:t xml:space="preserve">en 2017 </w:t>
      </w:r>
      <w:r w:rsidR="00117C05" w:rsidRPr="00C47165">
        <w:rPr>
          <w:rFonts w:ascii="Comic Sans MS" w:hAnsi="Comic Sans MS"/>
          <w:i/>
          <w:sz w:val="20"/>
          <w:szCs w:val="20"/>
        </w:rPr>
        <w:t>chargé d’étudier</w:t>
      </w:r>
      <w:r w:rsidR="003E2D39" w:rsidRPr="00C47165">
        <w:rPr>
          <w:rFonts w:ascii="Comic Sans MS" w:hAnsi="Comic Sans MS"/>
          <w:i/>
          <w:sz w:val="20"/>
          <w:szCs w:val="20"/>
        </w:rPr>
        <w:t xml:space="preserve"> la mise en place d’une telle procédure.</w:t>
      </w:r>
      <w:r w:rsidRPr="00C47165">
        <w:rPr>
          <w:rFonts w:ascii="Comic Sans MS" w:hAnsi="Comic Sans MS"/>
          <w:i/>
          <w:sz w:val="20"/>
          <w:szCs w:val="20"/>
        </w:rPr>
        <w:t xml:space="preserve"> Celui-ci aboutissait</w:t>
      </w:r>
      <w:r w:rsidR="002A63B9" w:rsidRPr="00C47165">
        <w:rPr>
          <w:rFonts w:ascii="Comic Sans MS" w:hAnsi="Comic Sans MS"/>
          <w:i/>
          <w:sz w:val="20"/>
          <w:szCs w:val="20"/>
        </w:rPr>
        <w:t xml:space="preserve"> à la fin du premier semestre 2018 à la proposition d</w:t>
      </w:r>
      <w:r w:rsidR="00FB3E1B" w:rsidRPr="00C47165">
        <w:rPr>
          <w:rFonts w:ascii="Comic Sans MS" w:hAnsi="Comic Sans MS"/>
          <w:i/>
          <w:sz w:val="20"/>
          <w:szCs w:val="20"/>
        </w:rPr>
        <w:t>’un protocole pour</w:t>
      </w:r>
      <w:r w:rsidR="002A63B9" w:rsidRPr="00C47165">
        <w:rPr>
          <w:rFonts w:ascii="Comic Sans MS" w:hAnsi="Comic Sans MS"/>
          <w:i/>
          <w:sz w:val="20"/>
          <w:szCs w:val="20"/>
        </w:rPr>
        <w:t xml:space="preserve"> cette qualification. </w:t>
      </w:r>
    </w:p>
    <w:p w14:paraId="29F18BCE" w14:textId="490B445B" w:rsidR="00C44BD8" w:rsidRPr="00C47165" w:rsidRDefault="002A63B9">
      <w:pPr>
        <w:rPr>
          <w:rFonts w:ascii="Comic Sans MS" w:hAnsi="Comic Sans MS" w:hint="eastAsia"/>
          <w:i/>
          <w:sz w:val="20"/>
          <w:szCs w:val="20"/>
        </w:rPr>
      </w:pPr>
      <w:r w:rsidRPr="00C47165">
        <w:rPr>
          <w:rFonts w:ascii="Comic Sans MS" w:hAnsi="Comic Sans MS"/>
          <w:i/>
          <w:sz w:val="20"/>
          <w:szCs w:val="20"/>
        </w:rPr>
        <w:t xml:space="preserve">Le conseil d’administration </w:t>
      </w:r>
      <w:r w:rsidR="00C44BD8" w:rsidRPr="00C47165">
        <w:rPr>
          <w:rFonts w:ascii="Comic Sans MS" w:hAnsi="Comic Sans MS"/>
          <w:i/>
          <w:sz w:val="20"/>
          <w:szCs w:val="20"/>
        </w:rPr>
        <w:t xml:space="preserve">de l’OPQU </w:t>
      </w:r>
      <w:r w:rsidRPr="00C47165">
        <w:rPr>
          <w:rFonts w:ascii="Comic Sans MS" w:hAnsi="Comic Sans MS"/>
          <w:i/>
          <w:sz w:val="20"/>
          <w:szCs w:val="20"/>
        </w:rPr>
        <w:t xml:space="preserve">du 4 juillet 2018 décidait </w:t>
      </w:r>
      <w:r w:rsidR="00986121" w:rsidRPr="00C47165">
        <w:rPr>
          <w:rFonts w:ascii="Comic Sans MS" w:hAnsi="Comic Sans MS"/>
          <w:i/>
          <w:sz w:val="20"/>
          <w:szCs w:val="20"/>
        </w:rPr>
        <w:t xml:space="preserve">alors </w:t>
      </w:r>
      <w:r w:rsidR="00C7508D">
        <w:rPr>
          <w:rFonts w:ascii="Comic Sans MS" w:hAnsi="Comic Sans MS"/>
          <w:i/>
          <w:sz w:val="20"/>
          <w:szCs w:val="20"/>
        </w:rPr>
        <w:t>de mettre en place</w:t>
      </w:r>
      <w:r w:rsidRPr="00C47165">
        <w:rPr>
          <w:rFonts w:ascii="Comic Sans MS" w:hAnsi="Comic Sans MS"/>
          <w:i/>
          <w:sz w:val="20"/>
          <w:szCs w:val="20"/>
        </w:rPr>
        <w:t xml:space="preserve"> la quali</w:t>
      </w:r>
      <w:r w:rsidR="00533347">
        <w:rPr>
          <w:rFonts w:ascii="Comic Sans MS" w:hAnsi="Comic Sans MS"/>
          <w:i/>
          <w:sz w:val="20"/>
          <w:szCs w:val="20"/>
        </w:rPr>
        <w:t>fication des structures dès le début</w:t>
      </w:r>
      <w:r w:rsidRPr="00C47165">
        <w:rPr>
          <w:rFonts w:ascii="Comic Sans MS" w:hAnsi="Comic Sans MS"/>
          <w:i/>
          <w:sz w:val="20"/>
          <w:szCs w:val="20"/>
        </w:rPr>
        <w:t xml:space="preserve"> 2019</w:t>
      </w:r>
      <w:r w:rsidR="009266E7" w:rsidRPr="00C47165">
        <w:rPr>
          <w:rFonts w:ascii="Comic Sans MS" w:hAnsi="Comic Sans MS"/>
          <w:i/>
          <w:sz w:val="20"/>
          <w:szCs w:val="20"/>
        </w:rPr>
        <w:t xml:space="preserve">. </w:t>
      </w:r>
    </w:p>
    <w:p w14:paraId="62333DE9" w14:textId="123B9BCB" w:rsidR="008503B8" w:rsidRPr="00C47165" w:rsidRDefault="000456A5">
      <w:pPr>
        <w:rPr>
          <w:rFonts w:ascii="Comic Sans MS" w:hAnsi="Comic Sans MS" w:hint="eastAsia"/>
          <w:i/>
          <w:sz w:val="20"/>
          <w:szCs w:val="20"/>
        </w:rPr>
      </w:pPr>
      <w:r w:rsidRPr="00C47165">
        <w:rPr>
          <w:rFonts w:ascii="Comic Sans MS" w:hAnsi="Comic Sans MS"/>
          <w:i/>
          <w:sz w:val="20"/>
          <w:szCs w:val="20"/>
        </w:rPr>
        <w:t>Durant l’été 2018, à partir</w:t>
      </w:r>
      <w:r w:rsidR="009266E7" w:rsidRPr="00C47165">
        <w:rPr>
          <w:rFonts w:ascii="Comic Sans MS" w:hAnsi="Comic Sans MS"/>
          <w:i/>
          <w:sz w:val="20"/>
          <w:szCs w:val="20"/>
        </w:rPr>
        <w:t xml:space="preserve"> des résultats du groupe de tr</w:t>
      </w:r>
      <w:r w:rsidR="00107D0D" w:rsidRPr="00C47165">
        <w:rPr>
          <w:rFonts w:ascii="Comic Sans MS" w:hAnsi="Comic Sans MS"/>
          <w:i/>
          <w:sz w:val="20"/>
          <w:szCs w:val="20"/>
        </w:rPr>
        <w:t>avail, il engageait de conserve</w:t>
      </w:r>
      <w:r w:rsidR="009266E7" w:rsidRPr="00C47165">
        <w:rPr>
          <w:rFonts w:ascii="Comic Sans MS" w:hAnsi="Comic Sans MS"/>
          <w:i/>
          <w:sz w:val="20"/>
          <w:szCs w:val="20"/>
        </w:rPr>
        <w:t xml:space="preserve"> une concertation en </w:t>
      </w:r>
      <w:r w:rsidR="00107D0D" w:rsidRPr="00C47165">
        <w:rPr>
          <w:rFonts w:ascii="Comic Sans MS" w:hAnsi="Comic Sans MS"/>
          <w:i/>
          <w:sz w:val="20"/>
          <w:szCs w:val="20"/>
        </w:rPr>
        <w:t>deux phases. La première</w:t>
      </w:r>
      <w:r w:rsidR="0034744F">
        <w:rPr>
          <w:rFonts w:ascii="Comic Sans MS" w:hAnsi="Comic Sans MS"/>
          <w:i/>
          <w:sz w:val="20"/>
          <w:szCs w:val="20"/>
        </w:rPr>
        <w:t xml:space="preserve"> phase </w:t>
      </w:r>
      <w:r w:rsidR="00C44BD8" w:rsidRPr="00C47165">
        <w:rPr>
          <w:rFonts w:ascii="Comic Sans MS" w:hAnsi="Comic Sans MS"/>
          <w:i/>
          <w:sz w:val="20"/>
          <w:szCs w:val="20"/>
        </w:rPr>
        <w:t>a été</w:t>
      </w:r>
      <w:r w:rsidR="009266E7" w:rsidRPr="00C47165">
        <w:rPr>
          <w:rFonts w:ascii="Comic Sans MS" w:hAnsi="Comic Sans MS"/>
          <w:i/>
          <w:sz w:val="20"/>
          <w:szCs w:val="20"/>
        </w:rPr>
        <w:t xml:space="preserve"> réalisée </w:t>
      </w:r>
      <w:r w:rsidR="00107D0D" w:rsidRPr="00C47165">
        <w:rPr>
          <w:rFonts w:ascii="Comic Sans MS" w:hAnsi="Comic Sans MS"/>
          <w:i/>
          <w:sz w:val="20"/>
          <w:szCs w:val="20"/>
        </w:rPr>
        <w:t>sous forme d’</w:t>
      </w:r>
      <w:r w:rsidR="009266E7" w:rsidRPr="00C47165">
        <w:rPr>
          <w:rFonts w:ascii="Comic Sans MS" w:hAnsi="Comic Sans MS"/>
          <w:i/>
          <w:sz w:val="20"/>
          <w:szCs w:val="20"/>
        </w:rPr>
        <w:t>un</w:t>
      </w:r>
      <w:r w:rsidR="00D36F4C" w:rsidRPr="00C47165">
        <w:rPr>
          <w:rFonts w:ascii="Comic Sans MS" w:hAnsi="Comic Sans MS"/>
          <w:i/>
          <w:sz w:val="20"/>
          <w:szCs w:val="20"/>
        </w:rPr>
        <w:t>e enquête réalisée par</w:t>
      </w:r>
      <w:r w:rsidR="009266E7" w:rsidRPr="00C47165">
        <w:rPr>
          <w:rFonts w:ascii="Comic Sans MS" w:hAnsi="Comic Sans MS"/>
          <w:i/>
          <w:sz w:val="20"/>
          <w:szCs w:val="20"/>
        </w:rPr>
        <w:t xml:space="preserve"> questionnaire </w:t>
      </w:r>
      <w:r w:rsidR="00AB1FBC" w:rsidRPr="00C47165">
        <w:rPr>
          <w:rFonts w:ascii="Comic Sans MS" w:hAnsi="Comic Sans MS"/>
          <w:i/>
          <w:sz w:val="20"/>
          <w:szCs w:val="20"/>
        </w:rPr>
        <w:t xml:space="preserve">et </w:t>
      </w:r>
      <w:r w:rsidR="009266E7" w:rsidRPr="00C47165">
        <w:rPr>
          <w:rFonts w:ascii="Comic Sans MS" w:hAnsi="Comic Sans MS"/>
          <w:i/>
          <w:sz w:val="20"/>
          <w:szCs w:val="20"/>
        </w:rPr>
        <w:t>envoyé</w:t>
      </w:r>
      <w:r w:rsidR="00AB1FBC" w:rsidRPr="00C47165">
        <w:rPr>
          <w:rFonts w:ascii="Comic Sans MS" w:hAnsi="Comic Sans MS"/>
          <w:i/>
          <w:sz w:val="20"/>
          <w:szCs w:val="20"/>
        </w:rPr>
        <w:t>es</w:t>
      </w:r>
      <w:r w:rsidR="00C44CB0" w:rsidRPr="00C47165">
        <w:rPr>
          <w:rFonts w:ascii="Comic Sans MS" w:hAnsi="Comic Sans MS"/>
          <w:i/>
          <w:sz w:val="20"/>
          <w:szCs w:val="20"/>
        </w:rPr>
        <w:t xml:space="preserve"> à tous les acteurs concernés. </w:t>
      </w:r>
      <w:r w:rsidR="00D36F4C" w:rsidRPr="00C47165">
        <w:rPr>
          <w:rFonts w:ascii="Comic Sans MS" w:hAnsi="Comic Sans MS"/>
          <w:i/>
          <w:sz w:val="20"/>
          <w:szCs w:val="20"/>
        </w:rPr>
        <w:t>Ensuite, l</w:t>
      </w:r>
      <w:r w:rsidR="00C44CB0" w:rsidRPr="00C47165">
        <w:rPr>
          <w:rFonts w:ascii="Comic Sans MS" w:hAnsi="Comic Sans MS"/>
          <w:i/>
          <w:sz w:val="20"/>
          <w:szCs w:val="20"/>
        </w:rPr>
        <w:t>a seconde phase a été réalisée</w:t>
      </w:r>
      <w:r w:rsidR="00C50A76" w:rsidRPr="00C47165">
        <w:rPr>
          <w:rFonts w:ascii="Comic Sans MS" w:hAnsi="Comic Sans MS"/>
          <w:i/>
          <w:sz w:val="20"/>
          <w:szCs w:val="20"/>
        </w:rPr>
        <w:t xml:space="preserve"> sous forme d’une tab</w:t>
      </w:r>
      <w:r w:rsidR="00A04D8B" w:rsidRPr="00C47165">
        <w:rPr>
          <w:rFonts w:ascii="Comic Sans MS" w:hAnsi="Comic Sans MS"/>
          <w:i/>
          <w:sz w:val="20"/>
          <w:szCs w:val="20"/>
        </w:rPr>
        <w:t>le ronde dont les débat</w:t>
      </w:r>
      <w:r w:rsidR="00C50A76" w:rsidRPr="00C47165">
        <w:rPr>
          <w:rFonts w:ascii="Comic Sans MS" w:hAnsi="Comic Sans MS"/>
          <w:i/>
          <w:sz w:val="20"/>
          <w:szCs w:val="20"/>
        </w:rPr>
        <w:t>s ont pris pour poi</w:t>
      </w:r>
      <w:r w:rsidR="003F3389" w:rsidRPr="00C47165">
        <w:rPr>
          <w:rFonts w:ascii="Comic Sans MS" w:hAnsi="Comic Sans MS"/>
          <w:i/>
          <w:sz w:val="20"/>
          <w:szCs w:val="20"/>
        </w:rPr>
        <w:t xml:space="preserve">nt de départ les résultats de cette </w:t>
      </w:r>
      <w:r w:rsidR="00C50A76" w:rsidRPr="00C47165">
        <w:rPr>
          <w:rFonts w:ascii="Comic Sans MS" w:hAnsi="Comic Sans MS"/>
          <w:i/>
          <w:sz w:val="20"/>
          <w:szCs w:val="20"/>
        </w:rPr>
        <w:t>enquête</w:t>
      </w:r>
      <w:r w:rsidR="00A04D8B" w:rsidRPr="00C47165">
        <w:rPr>
          <w:rFonts w:ascii="Comic Sans MS" w:hAnsi="Comic Sans MS"/>
          <w:i/>
          <w:sz w:val="20"/>
          <w:szCs w:val="20"/>
        </w:rPr>
        <w:t>.</w:t>
      </w:r>
      <w:r w:rsidR="00226EF1" w:rsidRPr="00C47165">
        <w:rPr>
          <w:rFonts w:ascii="Comic Sans MS" w:hAnsi="Comic Sans MS"/>
          <w:i/>
          <w:sz w:val="20"/>
          <w:szCs w:val="20"/>
        </w:rPr>
        <w:t xml:space="preserve"> </w:t>
      </w:r>
    </w:p>
    <w:p w14:paraId="2B2E63CB" w14:textId="62DAF3B3" w:rsidR="00117C05" w:rsidRPr="00C47165" w:rsidRDefault="00226EF1">
      <w:pPr>
        <w:rPr>
          <w:rFonts w:ascii="Comic Sans MS" w:hAnsi="Comic Sans MS" w:hint="eastAsia"/>
          <w:i/>
          <w:sz w:val="20"/>
          <w:szCs w:val="20"/>
        </w:rPr>
      </w:pPr>
      <w:r w:rsidRPr="00C47165">
        <w:rPr>
          <w:rFonts w:ascii="Comic Sans MS" w:hAnsi="Comic Sans MS"/>
          <w:i/>
          <w:sz w:val="20"/>
          <w:szCs w:val="20"/>
        </w:rPr>
        <w:t>Cette</w:t>
      </w:r>
      <w:r w:rsidR="00F148A3" w:rsidRPr="00C47165">
        <w:rPr>
          <w:rFonts w:ascii="Comic Sans MS" w:hAnsi="Comic Sans MS"/>
          <w:i/>
          <w:sz w:val="20"/>
          <w:szCs w:val="20"/>
        </w:rPr>
        <w:t xml:space="preserve"> table ronde s’est réunie</w:t>
      </w:r>
      <w:r w:rsidRPr="00C47165">
        <w:rPr>
          <w:rFonts w:ascii="Comic Sans MS" w:hAnsi="Comic Sans MS"/>
          <w:i/>
          <w:sz w:val="20"/>
          <w:szCs w:val="20"/>
        </w:rPr>
        <w:t xml:space="preserve"> le 18 octobre 2018</w:t>
      </w:r>
      <w:r w:rsidR="00F148A3" w:rsidRPr="00C47165">
        <w:rPr>
          <w:rFonts w:ascii="Comic Sans MS" w:hAnsi="Comic Sans MS"/>
          <w:i/>
          <w:sz w:val="20"/>
          <w:szCs w:val="20"/>
        </w:rPr>
        <w:t xml:space="preserve"> dans les locaux de l’Association des Maires de France.</w:t>
      </w:r>
    </w:p>
    <w:p w14:paraId="16EA22C9" w14:textId="20103D08" w:rsidR="00F148A3" w:rsidRDefault="00F148A3">
      <w:pPr>
        <w:rPr>
          <w:rFonts w:ascii="Comic Sans MS" w:hAnsi="Comic Sans MS" w:hint="eastAsia"/>
          <w:i/>
          <w:sz w:val="20"/>
          <w:szCs w:val="20"/>
        </w:rPr>
      </w:pPr>
      <w:r w:rsidRPr="00C47165">
        <w:rPr>
          <w:rFonts w:ascii="Comic Sans MS" w:hAnsi="Comic Sans MS"/>
          <w:i/>
          <w:sz w:val="20"/>
          <w:szCs w:val="20"/>
        </w:rPr>
        <w:t>Le présent compte-rendu est la synthèse de cette table ronde</w:t>
      </w:r>
      <w:r w:rsidR="00637598" w:rsidRPr="00C47165">
        <w:rPr>
          <w:rFonts w:ascii="Comic Sans MS" w:hAnsi="Comic Sans MS"/>
          <w:i/>
          <w:sz w:val="20"/>
          <w:szCs w:val="20"/>
        </w:rPr>
        <w:t>.</w:t>
      </w:r>
    </w:p>
    <w:p w14:paraId="7711B427" w14:textId="64FDAEFD" w:rsidR="000654D8" w:rsidRPr="000654D8" w:rsidRDefault="000654D8" w:rsidP="000654D8">
      <w:pPr>
        <w:rPr>
          <w:rFonts w:ascii="Comic Sans MS" w:hAnsi="Comic Sans MS" w:hint="eastAsia"/>
          <w:i/>
          <w:sz w:val="20"/>
          <w:szCs w:val="20"/>
        </w:rPr>
      </w:pPr>
      <w:r w:rsidRPr="000654D8">
        <w:rPr>
          <w:rFonts w:ascii="Comic Sans MS" w:hAnsi="Comic Sans MS"/>
          <w:i/>
          <w:sz w:val="20"/>
          <w:szCs w:val="20"/>
        </w:rPr>
        <w:t xml:space="preserve">Les citations sont </w:t>
      </w:r>
      <w:r>
        <w:rPr>
          <w:rFonts w:ascii="Comic Sans MS" w:hAnsi="Comic Sans MS"/>
          <w:i/>
          <w:sz w:val="20"/>
          <w:szCs w:val="20"/>
        </w:rPr>
        <w:t xml:space="preserve">notées </w:t>
      </w:r>
      <w:r w:rsidRPr="000654D8">
        <w:rPr>
          <w:rFonts w:ascii="Comic Sans MS" w:hAnsi="Comic Sans MS"/>
          <w:i/>
          <w:sz w:val="20"/>
          <w:szCs w:val="20"/>
        </w:rPr>
        <w:t>« entre guillemets ».</w:t>
      </w:r>
    </w:p>
    <w:p w14:paraId="3D4971BE" w14:textId="77777777" w:rsidR="00642D17" w:rsidRPr="00642D17" w:rsidRDefault="00642D17"/>
    <w:p w14:paraId="746A3124" w14:textId="2E6739E4" w:rsidR="002471B8" w:rsidRDefault="00841EE5" w:rsidP="00477A06">
      <w:pPr>
        <w:pStyle w:val="Titre1"/>
      </w:pPr>
      <w:r>
        <w:t>Introduction</w:t>
      </w:r>
    </w:p>
    <w:p w14:paraId="28EC3069" w14:textId="77777777" w:rsidR="00270AFD" w:rsidRDefault="00714D60">
      <w:r w:rsidRPr="00714D60">
        <w:t>Christian Vigouroux, conseiller d’État,</w:t>
      </w:r>
      <w:r>
        <w:t xml:space="preserve"> en introduction à la séance, a rappelé l’écart qui pouvait exister entre la maîtrise d’ouvrage et les experts</w:t>
      </w:r>
      <w:r w:rsidR="00A542AA">
        <w:t>, ce qui engendre des tensions.</w:t>
      </w:r>
    </w:p>
    <w:p w14:paraId="0809E937" w14:textId="526FAB0A" w:rsidR="00A542AA" w:rsidRDefault="00A542AA">
      <w:r>
        <w:t xml:space="preserve">Le maître d’ouvrage sait ce qu’il veut, a des </w:t>
      </w:r>
      <w:r w:rsidR="00F40E58">
        <w:t>besoins et s’est donné des objectifs. L</w:t>
      </w:r>
      <w:r>
        <w:t>’expert n’est pas toujours sur le même registre,</w:t>
      </w:r>
      <w:r w:rsidR="004465F1">
        <w:t xml:space="preserve"> il avance des principes, argumente à partir de critères techniques et peut avoir des desseins (envie</w:t>
      </w:r>
      <w:r w:rsidR="00F40E58">
        <w:t>s</w:t>
      </w:r>
      <w:r w:rsidR="00A25F97">
        <w:t xml:space="preserve"> de faire, de créer…</w:t>
      </w:r>
      <w:r w:rsidR="004465F1">
        <w:t>) qui ne sont pas ceux de la maîtrise d’ouvrage. De fait, les deux horizons ne coïncident pas nécessairement.</w:t>
      </w:r>
    </w:p>
    <w:p w14:paraId="470EB873" w14:textId="2D3E189B" w:rsidR="00C163B8" w:rsidRDefault="00C163B8">
      <w:r>
        <w:lastRenderedPageBreak/>
        <w:t>Les élus sont parfois irrités</w:t>
      </w:r>
      <w:r w:rsidR="0017243A">
        <w:t xml:space="preserve"> quand il</w:t>
      </w:r>
      <w:r w:rsidR="00F40E58">
        <w:t>s</w:t>
      </w:r>
      <w:r w:rsidR="00CA54EA">
        <w:t xml:space="preserve"> ressent</w:t>
      </w:r>
      <w:r w:rsidR="0017243A">
        <w:t>e</w:t>
      </w:r>
      <w:r w:rsidR="00F40E58">
        <w:t>nt</w:t>
      </w:r>
      <w:r w:rsidR="0017243A">
        <w:t xml:space="preserve"> que les experts ont tendance à vouloir penser à leur place</w:t>
      </w:r>
      <w:r w:rsidR="00CA54EA">
        <w:t xml:space="preserve"> ou décider pour eux</w:t>
      </w:r>
      <w:r w:rsidR="0017243A">
        <w:t>.</w:t>
      </w:r>
    </w:p>
    <w:p w14:paraId="75CF86C3" w14:textId="12278EAE" w:rsidR="0017243A" w:rsidRDefault="0017243A">
      <w:r>
        <w:t>À l’inverse, les bureaux d’études sont parfois désemparés quand ils ont en face d’eux une équipe de ma</w:t>
      </w:r>
      <w:r w:rsidR="00F9290A">
        <w:t>îtrise</w:t>
      </w:r>
      <w:r w:rsidR="00F40E58">
        <w:t xml:space="preserve"> d’ouvrage </w:t>
      </w:r>
      <w:r w:rsidR="00F40E58" w:rsidRPr="0001509F">
        <w:rPr>
          <w:i/>
        </w:rPr>
        <w:t>« qui ne sait pas parler du projet »</w:t>
      </w:r>
      <w:r>
        <w:t xml:space="preserve">. Des </w:t>
      </w:r>
      <w:r w:rsidR="002C0838">
        <w:t xml:space="preserve">professionnels </w:t>
      </w:r>
      <w:r>
        <w:t>sont frustrés parce que la maîtrise d’ouvrage ne les comprend pas</w:t>
      </w:r>
      <w:r w:rsidR="00D876A0">
        <w:t xml:space="preserve"> ou ne partage pas leurs valeurs.</w:t>
      </w:r>
    </w:p>
    <w:p w14:paraId="28D86BF2" w14:textId="13E73C8C" w:rsidR="00D876A0" w:rsidRDefault="00D876A0">
      <w:r>
        <w:t xml:space="preserve">Des intervenants ont </w:t>
      </w:r>
      <w:r w:rsidR="002C0838">
        <w:t xml:space="preserve">aussi </w:t>
      </w:r>
      <w:r>
        <w:t>évoqué le fait que des non-dits s’installent parfois entre les différents acteurs concernés par les questions de l’urbanisme. C’est la problématiq</w:t>
      </w:r>
      <w:r w:rsidR="002C0838">
        <w:t>ue complexe des rapports élus-</w:t>
      </w:r>
      <w:r>
        <w:t>technicien</w:t>
      </w:r>
      <w:r w:rsidR="00922D61">
        <w:t>s</w:t>
      </w:r>
      <w:r w:rsidR="00421531">
        <w:t>,</w:t>
      </w:r>
      <w:r>
        <w:t xml:space="preserve"> </w:t>
      </w:r>
      <w:r w:rsidR="002C0838">
        <w:t xml:space="preserve">qui a été </w:t>
      </w:r>
      <w:r>
        <w:t>évoqué</w:t>
      </w:r>
      <w:r w:rsidR="00F33A16">
        <w:t>e</w:t>
      </w:r>
      <w:r>
        <w:t xml:space="preserve"> par un maire.</w:t>
      </w:r>
      <w:r w:rsidR="00F33A16">
        <w:t xml:space="preserve"> Dans une petite collectivité, les élus n’ont pas forcément le même niveau de culture que les </w:t>
      </w:r>
      <w:r w:rsidR="003C0130">
        <w:t>experts ou les</w:t>
      </w:r>
      <w:r w:rsidR="00F33A16">
        <w:t xml:space="preserve"> techniciens</w:t>
      </w:r>
      <w:r w:rsidR="00421531">
        <w:t xml:space="preserve"> a-t-il indiqué</w:t>
      </w:r>
      <w:r w:rsidR="00F33A16">
        <w:t>.</w:t>
      </w:r>
    </w:p>
    <w:p w14:paraId="11A508A6" w14:textId="290A8C05" w:rsidR="00C20DD3" w:rsidRDefault="00895825">
      <w:r>
        <w:t>Ces non-dits, ou c</w:t>
      </w:r>
      <w:r w:rsidR="003C0130">
        <w:t xml:space="preserve">es ambivalences, nous les </w:t>
      </w:r>
      <w:r w:rsidR="00C20DD3">
        <w:t xml:space="preserve">trouvons entre élus et techniciens, parfois entre élus </w:t>
      </w:r>
      <w:r w:rsidR="003C0130">
        <w:t>eux-mêmes</w:t>
      </w:r>
      <w:r w:rsidR="00421531">
        <w:t>,</w:t>
      </w:r>
      <w:r w:rsidR="003C0130">
        <w:t xml:space="preserve"> </w:t>
      </w:r>
      <w:r w:rsidR="00C20DD3">
        <w:t>porteurs d’enjeux différents, mais aussi entre le</w:t>
      </w:r>
      <w:r w:rsidR="00D15B7B">
        <w:t>s</w:t>
      </w:r>
      <w:r w:rsidR="00C20DD3">
        <w:t xml:space="preserve"> monde</w:t>
      </w:r>
      <w:r w:rsidR="00D15B7B">
        <w:t>s</w:t>
      </w:r>
      <w:r w:rsidR="00C20DD3">
        <w:t xml:space="preserve"> interne</w:t>
      </w:r>
      <w:r w:rsidR="00D15B7B">
        <w:t>s</w:t>
      </w:r>
      <w:r w:rsidR="00C20DD3">
        <w:t xml:space="preserve"> et externe</w:t>
      </w:r>
      <w:r w:rsidR="00D15B7B">
        <w:t>s</w:t>
      </w:r>
      <w:r w:rsidR="00C20DD3">
        <w:t xml:space="preserve"> à la collectivité.</w:t>
      </w:r>
    </w:p>
    <w:p w14:paraId="7E3794DA" w14:textId="7205A5D0" w:rsidR="00F84057" w:rsidRDefault="00F84057">
      <w:r>
        <w:t>Christian Vigouroux parle</w:t>
      </w:r>
      <w:r w:rsidR="00353D0B">
        <w:t xml:space="preserve"> alors de </w:t>
      </w:r>
      <w:r w:rsidR="00353D0B" w:rsidRPr="00872860">
        <w:rPr>
          <w:i/>
        </w:rPr>
        <w:t>« tension</w:t>
      </w:r>
      <w:r w:rsidR="00D15B7B">
        <w:rPr>
          <w:i/>
        </w:rPr>
        <w:t>s</w:t>
      </w:r>
      <w:r w:rsidR="00353D0B" w:rsidRPr="00872860">
        <w:rPr>
          <w:i/>
        </w:rPr>
        <w:t xml:space="preserve"> créatrices »</w:t>
      </w:r>
      <w:r>
        <w:t xml:space="preserve"> entre maître d’ouvrage et experts. Mais d’une manière générale, le monde est fait de conflit</w:t>
      </w:r>
      <w:r w:rsidR="00353D0B">
        <w:t>s</w:t>
      </w:r>
      <w:r>
        <w:t xml:space="preserve"> créateurs.</w:t>
      </w:r>
      <w:r w:rsidR="00D237EB">
        <w:t xml:space="preserve"> C’est une dynamique profonde de nos sociétés.</w:t>
      </w:r>
    </w:p>
    <w:p w14:paraId="78BA13E0" w14:textId="3A30BF22" w:rsidR="00D237EB" w:rsidRDefault="00D237EB">
      <w:r>
        <w:t>Ainsi, ces tensions créatrices font parti</w:t>
      </w:r>
      <w:r w:rsidR="00353D0B">
        <w:t>e</w:t>
      </w:r>
      <w:r>
        <w:t xml:space="preserve"> du jeu complexe de la gestion de </w:t>
      </w:r>
      <w:r w:rsidR="00B653F6">
        <w:t>la chose publique. Leurs résolutions ne se trouvent</w:t>
      </w:r>
      <w:r w:rsidR="00FB6E23">
        <w:t xml:space="preserve"> pas </w:t>
      </w:r>
      <w:r>
        <w:t>forcément</w:t>
      </w:r>
      <w:r w:rsidR="00D227BA">
        <w:t xml:space="preserve"> dans un équilibre</w:t>
      </w:r>
      <w:r w:rsidR="00FF21AE">
        <w:t xml:space="preserve"> harmonieux</w:t>
      </w:r>
      <w:r w:rsidR="00FB6E23">
        <w:t>,</w:t>
      </w:r>
      <w:r>
        <w:t xml:space="preserve"> mais </w:t>
      </w:r>
      <w:r w:rsidR="00FF21AE">
        <w:t xml:space="preserve">elles </w:t>
      </w:r>
      <w:r>
        <w:t xml:space="preserve">traduisent les dynamiques et </w:t>
      </w:r>
      <w:r w:rsidR="00FB6E23">
        <w:t xml:space="preserve">les </w:t>
      </w:r>
      <w:r>
        <w:t>force</w:t>
      </w:r>
      <w:r w:rsidR="00FF21AE">
        <w:t>s</w:t>
      </w:r>
      <w:r>
        <w:t xml:space="preserve"> qui traverse</w:t>
      </w:r>
      <w:r w:rsidR="00FF21AE">
        <w:t>nt</w:t>
      </w:r>
      <w:r>
        <w:t xml:space="preserve"> les sociétés modernes.</w:t>
      </w:r>
      <w:r w:rsidR="0051482F">
        <w:t xml:space="preserve"> Il faut l’avoir à l’esprit lorsque l’on aborde la question du rapport maître d’</w:t>
      </w:r>
      <w:r w:rsidR="00FF21AE">
        <w:t>ouvrage-</w:t>
      </w:r>
      <w:r w:rsidR="0051482F">
        <w:t>expert et plus spécialement lorsque l’on aborde les questions de qualification professionnelle</w:t>
      </w:r>
      <w:r w:rsidR="00AA6872">
        <w:t xml:space="preserve"> des structures</w:t>
      </w:r>
      <w:r w:rsidR="0051482F">
        <w:t>.</w:t>
      </w:r>
    </w:p>
    <w:p w14:paraId="24DE0A09" w14:textId="73508584" w:rsidR="00CF2CD8" w:rsidRDefault="00AF3921" w:rsidP="00477A06">
      <w:pPr>
        <w:pStyle w:val="Titre1"/>
      </w:pPr>
      <w:r>
        <w:t xml:space="preserve">1 – </w:t>
      </w:r>
      <w:r w:rsidR="00325D94">
        <w:t>Quels sont les apports de la qualification à la maîtrise d’ouvrage</w:t>
      </w:r>
    </w:p>
    <w:p w14:paraId="642D597E" w14:textId="4025A201" w:rsidR="00C036DD" w:rsidRDefault="007B636D" w:rsidP="00794F46">
      <w:pPr>
        <w:pStyle w:val="Titre2"/>
      </w:pPr>
      <w:r>
        <w:t>1.1</w:t>
      </w:r>
      <w:r w:rsidR="00794F46">
        <w:t xml:space="preserve"> – </w:t>
      </w:r>
      <w:r w:rsidR="00717C16">
        <w:t>Le sens de la qualification des structures</w:t>
      </w:r>
    </w:p>
    <w:p w14:paraId="16EAE98D" w14:textId="14E8CCC1" w:rsidR="00325D94" w:rsidRDefault="00325D94">
      <w:r>
        <w:t>Tout d’abord, plusieurs intervenants ont tenu à préciser le sens de la qualification des structures.</w:t>
      </w:r>
    </w:p>
    <w:p w14:paraId="5FAD42CE" w14:textId="727F17C7" w:rsidR="00325D94" w:rsidRDefault="00325D94">
      <w:r>
        <w:t>Le représentant de l’OPQIBI</w:t>
      </w:r>
      <w:r w:rsidR="00DC3CAA">
        <w:t xml:space="preserve"> a rappelé</w:t>
      </w:r>
      <w:r>
        <w:t xml:space="preserve"> que la qualification des structures n’avait rien à voir avec la notoriété.</w:t>
      </w:r>
      <w:r w:rsidR="003514F6">
        <w:t xml:space="preserve"> Une structure est qualifiée parce qu’elle répond à un certain nombre de critères</w:t>
      </w:r>
      <w:r w:rsidR="00A45327">
        <w:t xml:space="preserve"> objectifs</w:t>
      </w:r>
      <w:r w:rsidR="003514F6">
        <w:t xml:space="preserve">, </w:t>
      </w:r>
      <w:r w:rsidR="00DC3CAA">
        <w:t xml:space="preserve">critères </w:t>
      </w:r>
      <w:r w:rsidR="003514F6">
        <w:t>sur lesquels nous reviendrons plus loin.</w:t>
      </w:r>
      <w:r w:rsidR="00A45327">
        <w:t xml:space="preserve"> Elle n’est pas qualifiée sur des jugements de valeur.</w:t>
      </w:r>
    </w:p>
    <w:p w14:paraId="69ECDB31" w14:textId="006E050A" w:rsidR="003514F6" w:rsidRDefault="003514F6">
      <w:r>
        <w:t>D’autres intervenants ont exprimé le fait que la qualification des structures ren</w:t>
      </w:r>
      <w:r w:rsidR="00DC3CAA">
        <w:t>d compte</w:t>
      </w:r>
      <w:r>
        <w:t xml:space="preserve"> de la capacité à réaliser des prestations, c’est-à-dire</w:t>
      </w:r>
      <w:r w:rsidR="00DC3CAA">
        <w:t xml:space="preserve"> à exécu</w:t>
      </w:r>
      <w:r w:rsidR="00273EEA">
        <w:t>ter une commande définie, dans s</w:t>
      </w:r>
      <w:r w:rsidR="00DC3CAA">
        <w:t>es différentes exigences et contraintes.</w:t>
      </w:r>
    </w:p>
    <w:p w14:paraId="78D37B8E" w14:textId="0872FA5A" w:rsidR="006912CA" w:rsidRDefault="00C036DD">
      <w:r>
        <w:t>Au cours des débats, la</w:t>
      </w:r>
      <w:r w:rsidR="006912CA">
        <w:t xml:space="preserve"> différence entre </w:t>
      </w:r>
      <w:r>
        <w:t>la qualification des personnes</w:t>
      </w:r>
      <w:r w:rsidR="006912CA">
        <w:t xml:space="preserve"> et la qualification des struct</w:t>
      </w:r>
      <w:r w:rsidR="00813580">
        <w:t>ure</w:t>
      </w:r>
      <w:r>
        <w:t>s a clairement été soulignée : l</w:t>
      </w:r>
      <w:r w:rsidR="00813580">
        <w:t>a qualification des personnes identifie un métier alors que la qualification de</w:t>
      </w:r>
      <w:r w:rsidR="009E0E89">
        <w:t xml:space="preserve">s structures rend compte de la </w:t>
      </w:r>
      <w:r w:rsidR="00813580">
        <w:t>capacité à réaliser des prestations.</w:t>
      </w:r>
    </w:p>
    <w:p w14:paraId="525BB324" w14:textId="0CA886C7" w:rsidR="00813580" w:rsidRDefault="00813580" w:rsidP="009462DD">
      <w:pPr>
        <w:ind w:left="284"/>
        <w:rPr>
          <w:rFonts w:ascii="Comic Sans MS" w:hAnsi="Comic Sans MS" w:hint="eastAsia"/>
          <w:sz w:val="22"/>
          <w:szCs w:val="22"/>
        </w:rPr>
      </w:pPr>
      <w:r w:rsidRPr="00461E6B">
        <w:rPr>
          <w:rFonts w:ascii="Comic Sans MS" w:hAnsi="Comic Sans MS"/>
          <w:sz w:val="22"/>
          <w:szCs w:val="22"/>
        </w:rPr>
        <w:t>[Nota : les discussions préalables que l’OPQU a eues avec le Cofrac</w:t>
      </w:r>
      <w:r w:rsidR="00E234CC" w:rsidRPr="00461E6B">
        <w:rPr>
          <w:rFonts w:ascii="Comic Sans MS" w:hAnsi="Comic Sans MS"/>
          <w:sz w:val="22"/>
          <w:szCs w:val="22"/>
        </w:rPr>
        <w:t xml:space="preserve"> – </w:t>
      </w:r>
      <w:r w:rsidR="00E234CC" w:rsidRPr="00461E6B">
        <w:rPr>
          <w:rFonts w:ascii="Comic Sans MS" w:hAnsi="Comic Sans MS"/>
          <w:i/>
          <w:sz w:val="22"/>
          <w:szCs w:val="22"/>
        </w:rPr>
        <w:t>qui est l’organisme d’accréditation des organismes qualificateurs</w:t>
      </w:r>
      <w:r w:rsidR="00E234CC" w:rsidRPr="00461E6B">
        <w:rPr>
          <w:rFonts w:ascii="Comic Sans MS" w:hAnsi="Comic Sans MS"/>
          <w:sz w:val="22"/>
          <w:szCs w:val="22"/>
        </w:rPr>
        <w:t> – allait dans ce sens</w:t>
      </w:r>
      <w:r w:rsidR="009E0E89" w:rsidRPr="00461E6B">
        <w:rPr>
          <w:rFonts w:ascii="Comic Sans MS" w:hAnsi="Comic Sans MS"/>
          <w:sz w:val="22"/>
          <w:szCs w:val="22"/>
        </w:rPr>
        <w:t>,</w:t>
      </w:r>
      <w:r w:rsidR="004239B5" w:rsidRPr="00461E6B">
        <w:rPr>
          <w:rFonts w:ascii="Comic Sans MS" w:hAnsi="Comic Sans MS"/>
          <w:sz w:val="22"/>
          <w:szCs w:val="22"/>
        </w:rPr>
        <w:t xml:space="preserve"> puisque cette instance a incité l’OPQU à définir les différents types de prestations sur lesquels devait porter la qualification.</w:t>
      </w:r>
      <w:r w:rsidR="009E0E89" w:rsidRPr="00461E6B">
        <w:rPr>
          <w:rFonts w:ascii="Comic Sans MS" w:hAnsi="Comic Sans MS"/>
          <w:sz w:val="22"/>
          <w:szCs w:val="22"/>
        </w:rPr>
        <w:t>]</w:t>
      </w:r>
    </w:p>
    <w:p w14:paraId="2B9ACA28" w14:textId="7D2DD84A" w:rsidR="002C0388" w:rsidRPr="002C0388" w:rsidRDefault="002C0388" w:rsidP="002C0388">
      <w:r>
        <w:t>Un</w:t>
      </w:r>
      <w:r w:rsidR="00625D46">
        <w:t>e</w:t>
      </w:r>
      <w:r>
        <w:t xml:space="preserve"> autre idée a été d</w:t>
      </w:r>
      <w:r w:rsidR="00625D46">
        <w:t>éveloppée par l’un des interven</w:t>
      </w:r>
      <w:r>
        <w:t>ant</w:t>
      </w:r>
      <w:r w:rsidR="00625D46">
        <w:t>s</w:t>
      </w:r>
      <w:r>
        <w:t xml:space="preserve">, à savoir que la qualification des structures devrait contribuer </w:t>
      </w:r>
      <w:r w:rsidR="00625D46">
        <w:t>à mettre petites et grandes structures sur un pie</w:t>
      </w:r>
      <w:r w:rsidR="00A4588A">
        <w:t>d d’égalité : parce que cette q</w:t>
      </w:r>
      <w:r w:rsidR="00F754AD">
        <w:t>u</w:t>
      </w:r>
      <w:r w:rsidR="00A4588A">
        <w:t>a</w:t>
      </w:r>
      <w:r w:rsidR="00F754AD">
        <w:t>lification</w:t>
      </w:r>
      <w:r w:rsidR="00625D46">
        <w:t xml:space="preserve"> met en avant des critères objectifs</w:t>
      </w:r>
      <w:r w:rsidR="00784136">
        <w:t>, officiels</w:t>
      </w:r>
      <w:r w:rsidR="00625D46">
        <w:t xml:space="preserve"> et vérifiables, elle </w:t>
      </w:r>
      <w:r w:rsidR="00F754AD">
        <w:t xml:space="preserve">permet de </w:t>
      </w:r>
      <w:r w:rsidR="00BC53A3">
        <w:t>mettre au même niveau</w:t>
      </w:r>
      <w:r w:rsidR="009F6F8A" w:rsidRPr="009F6F8A">
        <w:t xml:space="preserve"> </w:t>
      </w:r>
      <w:r w:rsidR="009F6F8A">
        <w:t>face à ces critères</w:t>
      </w:r>
      <w:r w:rsidR="00BC53A3">
        <w:t xml:space="preserve"> </w:t>
      </w:r>
      <w:r w:rsidR="00A4588A">
        <w:t>les différentes structures, quel</w:t>
      </w:r>
      <w:r w:rsidR="00BC53A3">
        <w:t xml:space="preserve">que soit leur dimension ou leur </w:t>
      </w:r>
      <w:r w:rsidR="00A72E01">
        <w:t xml:space="preserve">« brillant ». </w:t>
      </w:r>
    </w:p>
    <w:p w14:paraId="74ECD488" w14:textId="4E78D66A" w:rsidR="00642D17" w:rsidRDefault="00B32C3B" w:rsidP="00642D17">
      <w:pPr>
        <w:pStyle w:val="Titre2"/>
      </w:pPr>
      <w:r>
        <w:t>1.2 – Deux</w:t>
      </w:r>
      <w:r w:rsidR="00CC4B34">
        <w:t xml:space="preserve"> problématiques</w:t>
      </w:r>
      <w:r w:rsidR="00273EEA">
        <w:t xml:space="preserve"> pour la qualification des structures</w:t>
      </w:r>
    </w:p>
    <w:p w14:paraId="2C49BB9A" w14:textId="3CA24C95" w:rsidR="004239B5" w:rsidRDefault="004239B5" w:rsidP="00642D17">
      <w:r>
        <w:t>S’agissant de la qualification des structures, les discussions ont fait émerger de</w:t>
      </w:r>
      <w:r w:rsidR="00C93933">
        <w:t>ux grandes problématiques : la première porte sur l’identification des compétences, la seconde porte sur le rapport entre</w:t>
      </w:r>
      <w:r w:rsidR="00461E6B">
        <w:t xml:space="preserve"> maître</w:t>
      </w:r>
      <w:r w:rsidR="00B42F9A">
        <w:t xml:space="preserve"> </w:t>
      </w:r>
      <w:r w:rsidR="00461E6B">
        <w:t>d’ouvrage et</w:t>
      </w:r>
      <w:r w:rsidR="00B42F9A">
        <w:t xml:space="preserve"> bureaux</w:t>
      </w:r>
      <w:r w:rsidR="00221ACD">
        <w:t xml:space="preserve"> d’études. Ce dernier sujet fait </w:t>
      </w:r>
      <w:r w:rsidR="00B42F9A">
        <w:t xml:space="preserve">d’ailleurs écho à </w:t>
      </w:r>
      <w:r w:rsidR="00221ACD">
        <w:t xml:space="preserve">la </w:t>
      </w:r>
      <w:r w:rsidR="00221ACD" w:rsidRPr="00AA6872">
        <w:rPr>
          <w:i/>
        </w:rPr>
        <w:t>« tension »</w:t>
      </w:r>
      <w:r w:rsidR="00221ACD">
        <w:t xml:space="preserve"> </w:t>
      </w:r>
      <w:r w:rsidR="00717C16">
        <w:t xml:space="preserve">évoquée </w:t>
      </w:r>
      <w:r w:rsidR="00B42F9A">
        <w:t>en introduction.</w:t>
      </w:r>
    </w:p>
    <w:p w14:paraId="5469AA37" w14:textId="261D4255" w:rsidR="00B42F9A" w:rsidRDefault="000D431E" w:rsidP="00F3238B">
      <w:pPr>
        <w:pStyle w:val="Sous-titre"/>
      </w:pPr>
      <w:r>
        <w:t>Le rôle central : révéler la</w:t>
      </w:r>
      <w:r w:rsidR="00B32C3B" w:rsidRPr="00B32C3B">
        <w:t xml:space="preserve"> </w:t>
      </w:r>
      <w:r w:rsidR="00B32C3B">
        <w:t>capacité à faire</w:t>
      </w:r>
    </w:p>
    <w:p w14:paraId="35DCFAC0" w14:textId="253E59DE" w:rsidR="00B42F9A" w:rsidRDefault="00B42F9A">
      <w:r>
        <w:t>Le rôle central d’une qualif</w:t>
      </w:r>
      <w:r w:rsidR="007B636D">
        <w:t>ication de structure</w:t>
      </w:r>
      <w:r>
        <w:t xml:space="preserve"> e</w:t>
      </w:r>
      <w:r w:rsidR="00E50938">
        <w:t>s</w:t>
      </w:r>
      <w:r>
        <w:t>t de révéler les</w:t>
      </w:r>
      <w:r w:rsidR="007B636D">
        <w:t xml:space="preserve"> </w:t>
      </w:r>
      <w:r w:rsidR="007B636D" w:rsidRPr="00AA6872">
        <w:rPr>
          <w:i/>
        </w:rPr>
        <w:t>« capacités à faire »</w:t>
      </w:r>
      <w:r w:rsidR="004A190B">
        <w:t>, c</w:t>
      </w:r>
      <w:r w:rsidR="00E50938">
        <w:t xml:space="preserve">’est-à-dire d’identifier chez le prestataire ses compétences pour les études à </w:t>
      </w:r>
      <w:r w:rsidR="004A190B">
        <w:t xml:space="preserve"> mener</w:t>
      </w:r>
      <w:r w:rsidR="00E50938">
        <w:t xml:space="preserve">, sa capacité à mobiliser les spécialités requises pour le sujet à traiter, </w:t>
      </w:r>
      <w:r w:rsidR="004A190B">
        <w:t>sa faculté à se situer</w:t>
      </w:r>
      <w:r w:rsidR="00E50938">
        <w:t xml:space="preserve"> par son expérience</w:t>
      </w:r>
      <w:r w:rsidR="00913FAC">
        <w:t xml:space="preserve"> et ses aptitudes dans la catégorie d’études pour laquelle le maître d’ouvrage cherche un prest</w:t>
      </w:r>
      <w:r w:rsidR="00271A2F">
        <w:t xml:space="preserve">ataire. Certains ont parlé de </w:t>
      </w:r>
      <w:r w:rsidR="00271A2F" w:rsidRPr="009462DD">
        <w:rPr>
          <w:i/>
        </w:rPr>
        <w:t>« capacité à produire »</w:t>
      </w:r>
      <w:r w:rsidR="00913FAC">
        <w:t xml:space="preserve"> </w:t>
      </w:r>
      <w:r w:rsidR="00271A2F">
        <w:t>afin d’</w:t>
      </w:r>
      <w:r w:rsidR="00913FAC">
        <w:t xml:space="preserve">être </w:t>
      </w:r>
      <w:r w:rsidR="00755C10">
        <w:t>sur le bon registre en matière d’aide à la décision</w:t>
      </w:r>
      <w:r w:rsidR="00E630DB">
        <w:t xml:space="preserve"> pour le</w:t>
      </w:r>
      <w:r w:rsidR="00271A2F">
        <w:t xml:space="preserve"> commanditaire</w:t>
      </w:r>
      <w:r w:rsidR="00755C10">
        <w:t>.</w:t>
      </w:r>
    </w:p>
    <w:p w14:paraId="4D7CF656" w14:textId="7CAA7A5C" w:rsidR="00BF0FA5" w:rsidRDefault="00BF0FA5">
      <w:r>
        <w:t>La qualification des structures sert au</w:t>
      </w:r>
      <w:r w:rsidR="00E630DB">
        <w:t>ssi à bien identifier l</w:t>
      </w:r>
      <w:r>
        <w:t>es prestataires</w:t>
      </w:r>
      <w:r w:rsidR="00F21869">
        <w:t xml:space="preserve"> </w:t>
      </w:r>
      <w:r w:rsidR="001E2486">
        <w:t>potentiel</w:t>
      </w:r>
      <w:r w:rsidR="00E630DB">
        <w:t>s susceptibles de</w:t>
      </w:r>
      <w:r w:rsidR="001E2486">
        <w:t xml:space="preserve"> répondre aux besoins de la maîtrise d’ouvrage</w:t>
      </w:r>
      <w:r w:rsidR="00E630DB">
        <w:t xml:space="preserve"> sur tel ou tel sujet</w:t>
      </w:r>
      <w:r w:rsidR="001E2486">
        <w:t>.</w:t>
      </w:r>
    </w:p>
    <w:p w14:paraId="4BDF0BC4" w14:textId="1BD7B950" w:rsidR="001E2486" w:rsidRDefault="00DB339D">
      <w:r>
        <w:t>Comme cela a</w:t>
      </w:r>
      <w:r w:rsidR="001E2486">
        <w:t xml:space="preserve"> souvent </w:t>
      </w:r>
      <w:r>
        <w:t xml:space="preserve">été </w:t>
      </w:r>
      <w:r w:rsidR="001E2486">
        <w:t>exprimé, le rôle central de la qualification des structures e</w:t>
      </w:r>
      <w:r>
        <w:t>s</w:t>
      </w:r>
      <w:r w:rsidR="001E2486">
        <w:t>t donc d’ident</w:t>
      </w:r>
      <w:r w:rsidR="0075650B">
        <w:t>ifier des compétences pour aider, voir</w:t>
      </w:r>
      <w:r w:rsidR="00F21869">
        <w:t>e</w:t>
      </w:r>
      <w:r w:rsidR="0075650B">
        <w:t xml:space="preserve"> sécuriser le commanditaire. Cette notion </w:t>
      </w:r>
      <w:r w:rsidR="001D209C">
        <w:t xml:space="preserve">de </w:t>
      </w:r>
      <w:r w:rsidR="001D209C" w:rsidRPr="008077CF">
        <w:rPr>
          <w:i/>
        </w:rPr>
        <w:t>« sécurisation »</w:t>
      </w:r>
      <w:r w:rsidR="001D209C">
        <w:t xml:space="preserve"> </w:t>
      </w:r>
      <w:r w:rsidR="0075650B">
        <w:t>est souvent revenue dans les débats</w:t>
      </w:r>
      <w:r w:rsidR="00653D7D">
        <w:t>, nous y reviendrons plus loin</w:t>
      </w:r>
      <w:r w:rsidR="0075650B">
        <w:t>.</w:t>
      </w:r>
    </w:p>
    <w:p w14:paraId="7B146534" w14:textId="3F1D8621" w:rsidR="0075650B" w:rsidRDefault="007A15DE">
      <w:r>
        <w:t>La garanti</w:t>
      </w:r>
      <w:r w:rsidR="00FE4CE9">
        <w:t>e de l’efficience s’apprécie</w:t>
      </w:r>
      <w:r>
        <w:t xml:space="preserve"> par les compétences et le professionnal</w:t>
      </w:r>
      <w:r w:rsidR="00FE4CE9">
        <w:t>isme, et c’est par conséquent là où</w:t>
      </w:r>
      <w:r>
        <w:t xml:space="preserve"> l’exp</w:t>
      </w:r>
      <w:r w:rsidR="00FE4CE9">
        <w:t>érience professionnelle joue</w:t>
      </w:r>
      <w:r w:rsidR="00BA78C8">
        <w:t xml:space="preserve"> </w:t>
      </w:r>
      <w:r w:rsidR="00FE4CE9">
        <w:t>pleinemen</w:t>
      </w:r>
      <w:r>
        <w:t>t son rôle dans la qualification. Nombre d’intervenants ont souligné l</w:t>
      </w:r>
      <w:r w:rsidR="00BA78C8">
        <w:t xml:space="preserve">’importance de </w:t>
      </w:r>
      <w:r w:rsidR="00650319">
        <w:t xml:space="preserve">l’expérience pour </w:t>
      </w:r>
      <w:r w:rsidR="00BA78C8">
        <w:t>l’identification</w:t>
      </w:r>
      <w:r>
        <w:t xml:space="preserve"> </w:t>
      </w:r>
      <w:r w:rsidR="00650319">
        <w:t xml:space="preserve">des professionnels </w:t>
      </w:r>
      <w:r>
        <w:t>par les élus et les maîtres d’ouvrage</w:t>
      </w:r>
      <w:r>
        <w:rPr>
          <w:rStyle w:val="Marquenotebasdepage"/>
        </w:rPr>
        <w:footnoteReference w:id="1"/>
      </w:r>
      <w:r>
        <w:t>.</w:t>
      </w:r>
    </w:p>
    <w:p w14:paraId="52638ECD" w14:textId="042AD7E0" w:rsidR="00EF6D24" w:rsidRDefault="00BB17B4">
      <w:r>
        <w:t xml:space="preserve">La question des compétences renvoie alors aux différentes spécialités </w:t>
      </w:r>
      <w:r w:rsidR="008029D9">
        <w:t xml:space="preserve">que </w:t>
      </w:r>
      <w:r>
        <w:t>peuvent avancer les bureaux d’études. Chaque bureau d’études ne peut être compétent dans tous les domaines, et des intervenants ont souligné la nécessité d’identifier</w:t>
      </w:r>
      <w:r w:rsidR="008029D9">
        <w:t xml:space="preserve"> des </w:t>
      </w:r>
      <w:r w:rsidR="008029D9" w:rsidRPr="00872860">
        <w:rPr>
          <w:i/>
        </w:rPr>
        <w:t>« </w:t>
      </w:r>
      <w:r w:rsidR="00E919A4" w:rsidRPr="00872860">
        <w:rPr>
          <w:i/>
        </w:rPr>
        <w:t>filières »</w:t>
      </w:r>
      <w:r>
        <w:t>, des spécialités.</w:t>
      </w:r>
    </w:p>
    <w:p w14:paraId="318F8E8C" w14:textId="60F4DB7A" w:rsidR="00BB17B4" w:rsidRDefault="00D13F84">
      <w:r>
        <w:t>Ce qui revient à dire qu’il faut définir plusieurs types de prestations, et non pas une prestation g</w:t>
      </w:r>
      <w:r w:rsidR="003A39F9">
        <w:t>énérique d’urbanism</w:t>
      </w:r>
      <w:r w:rsidR="00E919A4">
        <w:t>e qui serait trop floue ou trop vague</w:t>
      </w:r>
      <w:r>
        <w:t>.</w:t>
      </w:r>
    </w:p>
    <w:p w14:paraId="05BE1654" w14:textId="649D9EC5" w:rsidR="000C0679" w:rsidRDefault="000C0679" w:rsidP="009462DD">
      <w:pPr>
        <w:ind w:left="284"/>
        <w:rPr>
          <w:rFonts w:ascii="Comic Sans MS" w:hAnsi="Comic Sans MS" w:hint="eastAsia"/>
          <w:sz w:val="22"/>
          <w:szCs w:val="22"/>
        </w:rPr>
      </w:pPr>
      <w:r w:rsidRPr="007E5D26">
        <w:rPr>
          <w:rFonts w:ascii="Comic Sans MS" w:hAnsi="Comic Sans MS"/>
          <w:sz w:val="22"/>
          <w:szCs w:val="22"/>
        </w:rPr>
        <w:t xml:space="preserve">[Nota : le groupe de travail sur la qualification des structures de l’OPQU s’attache </w:t>
      </w:r>
      <w:r w:rsidR="008E6455" w:rsidRPr="007E5D26">
        <w:rPr>
          <w:rFonts w:ascii="Comic Sans MS" w:hAnsi="Comic Sans MS"/>
          <w:sz w:val="22"/>
          <w:szCs w:val="22"/>
        </w:rPr>
        <w:t>d’</w:t>
      </w:r>
      <w:r w:rsidRPr="007E5D26">
        <w:rPr>
          <w:rFonts w:ascii="Comic Sans MS" w:hAnsi="Comic Sans MS"/>
          <w:sz w:val="22"/>
          <w:szCs w:val="22"/>
        </w:rPr>
        <w:t>ailleurs à définir les différentes prestations, estimé</w:t>
      </w:r>
      <w:r w:rsidR="00C55548">
        <w:rPr>
          <w:rFonts w:ascii="Comic Sans MS" w:hAnsi="Comic Sans MS"/>
          <w:sz w:val="22"/>
          <w:szCs w:val="22"/>
        </w:rPr>
        <w:t>e</w:t>
      </w:r>
      <w:r w:rsidRPr="007E5D26">
        <w:rPr>
          <w:rFonts w:ascii="Comic Sans MS" w:hAnsi="Comic Sans MS"/>
          <w:sz w:val="22"/>
          <w:szCs w:val="22"/>
        </w:rPr>
        <w:t>s au nombre de six</w:t>
      </w:r>
      <w:r w:rsidR="007E5D26">
        <w:rPr>
          <w:rFonts w:ascii="Comic Sans MS" w:hAnsi="Comic Sans MS"/>
          <w:sz w:val="22"/>
          <w:szCs w:val="22"/>
        </w:rPr>
        <w:t>. Une structure se</w:t>
      </w:r>
      <w:r w:rsidR="0066229D">
        <w:rPr>
          <w:rFonts w:ascii="Comic Sans MS" w:hAnsi="Comic Sans MS"/>
          <w:sz w:val="22"/>
          <w:szCs w:val="22"/>
        </w:rPr>
        <w:t xml:space="preserve"> faisant alors qualifier sur un</w:t>
      </w:r>
      <w:r w:rsidR="007E5D26">
        <w:rPr>
          <w:rFonts w:ascii="Comic Sans MS" w:hAnsi="Comic Sans MS"/>
          <w:sz w:val="22"/>
          <w:szCs w:val="22"/>
        </w:rPr>
        <w:t xml:space="preserve"> ou plusieurs type</w:t>
      </w:r>
      <w:r w:rsidR="0066229D">
        <w:rPr>
          <w:rFonts w:ascii="Comic Sans MS" w:hAnsi="Comic Sans MS"/>
          <w:sz w:val="22"/>
          <w:szCs w:val="22"/>
        </w:rPr>
        <w:t>s</w:t>
      </w:r>
      <w:r w:rsidR="007E5D26">
        <w:rPr>
          <w:rFonts w:ascii="Comic Sans MS" w:hAnsi="Comic Sans MS"/>
          <w:sz w:val="22"/>
          <w:szCs w:val="22"/>
        </w:rPr>
        <w:t xml:space="preserve"> de pres</w:t>
      </w:r>
      <w:r w:rsidR="0066229D">
        <w:rPr>
          <w:rFonts w:ascii="Comic Sans MS" w:hAnsi="Comic Sans MS"/>
          <w:sz w:val="22"/>
          <w:szCs w:val="22"/>
        </w:rPr>
        <w:t>ta</w:t>
      </w:r>
      <w:r w:rsidR="007E5D26">
        <w:rPr>
          <w:rFonts w:ascii="Comic Sans MS" w:hAnsi="Comic Sans MS"/>
          <w:sz w:val="22"/>
          <w:szCs w:val="22"/>
        </w:rPr>
        <w:t>tion</w:t>
      </w:r>
      <w:r w:rsidR="00C55548">
        <w:rPr>
          <w:rFonts w:ascii="Comic Sans MS" w:hAnsi="Comic Sans MS"/>
          <w:sz w:val="22"/>
          <w:szCs w:val="22"/>
        </w:rPr>
        <w:t>s</w:t>
      </w:r>
      <w:r w:rsidR="00D13DE8" w:rsidRPr="007E5D26">
        <w:rPr>
          <w:rFonts w:ascii="Comic Sans MS" w:hAnsi="Comic Sans MS"/>
          <w:sz w:val="22"/>
          <w:szCs w:val="22"/>
        </w:rPr>
        <w:t>.]</w:t>
      </w:r>
    </w:p>
    <w:p w14:paraId="44E8BB81" w14:textId="2472171F" w:rsidR="00FD7A13" w:rsidRPr="003F6D91" w:rsidRDefault="00FD7A13" w:rsidP="00FD7A13">
      <w:r w:rsidRPr="003F6D91">
        <w:t xml:space="preserve">Un intervenant en exercice libéral a par ailleurs rappelé que la qualification des structures intéressait </w:t>
      </w:r>
      <w:r w:rsidR="00F7455E" w:rsidRPr="003F6D91">
        <w:t>les entreprises pour les garanties qu’elle offre. Mais il a tenu à indiquer</w:t>
      </w:r>
      <w:r w:rsidRPr="003F6D91">
        <w:t xml:space="preserve"> qu’à la garantie des compétences devait être clairement rattachée l</w:t>
      </w:r>
      <w:r w:rsidR="000D2328" w:rsidRPr="003F6D91">
        <w:t>’adhésion à la</w:t>
      </w:r>
      <w:r w:rsidRPr="003F6D91">
        <w:t xml:space="preserve"> déontologie professionnelle.</w:t>
      </w:r>
    </w:p>
    <w:p w14:paraId="07432894" w14:textId="77777777" w:rsidR="00FD7A13" w:rsidRPr="007E5D26" w:rsidRDefault="00FD7A13" w:rsidP="00FD7A13">
      <w:pPr>
        <w:rPr>
          <w:rFonts w:ascii="Comic Sans MS" w:hAnsi="Comic Sans MS" w:hint="eastAsia"/>
          <w:sz w:val="22"/>
          <w:szCs w:val="22"/>
        </w:rPr>
      </w:pPr>
    </w:p>
    <w:p w14:paraId="110112C9" w14:textId="4498DD1E" w:rsidR="000136C8" w:rsidRDefault="00544D19" w:rsidP="00D50CF7">
      <w:pPr>
        <w:pStyle w:val="Sous-titre"/>
      </w:pPr>
      <w:r>
        <w:t>Autre apport : sécuriser la maitrise d’ouvrage</w:t>
      </w:r>
    </w:p>
    <w:p w14:paraId="69515DAC" w14:textId="3BCC55D2" w:rsidR="008E6455" w:rsidRDefault="000136C8">
      <w:r>
        <w:t>L</w:t>
      </w:r>
      <w:r w:rsidR="008E6455">
        <w:t>a seconde problématique porte sur les rapports entre maîtri</w:t>
      </w:r>
      <w:r w:rsidR="00811364">
        <w:t>se d’ouvrage et prestataires. Rappelons que</w:t>
      </w:r>
      <w:r w:rsidR="00241F8E">
        <w:t>,</w:t>
      </w:r>
      <w:r w:rsidR="00811364">
        <w:t xml:space="preserve"> d</w:t>
      </w:r>
      <w:r w:rsidR="001B5404">
        <w:t>ans les débats, il</w:t>
      </w:r>
      <w:r w:rsidR="008E6455">
        <w:t xml:space="preserve"> a souvent été dit</w:t>
      </w:r>
      <w:r w:rsidR="001B5404">
        <w:t xml:space="preserve"> que le rôle de la qualific</w:t>
      </w:r>
      <w:r w:rsidR="0066229D">
        <w:t xml:space="preserve">ation des structures était de </w:t>
      </w:r>
      <w:r w:rsidR="0066229D" w:rsidRPr="00872860">
        <w:rPr>
          <w:i/>
        </w:rPr>
        <w:t>« </w:t>
      </w:r>
      <w:r w:rsidR="001B5404" w:rsidRPr="00872860">
        <w:rPr>
          <w:i/>
        </w:rPr>
        <w:t>s</w:t>
      </w:r>
      <w:r w:rsidR="00811364" w:rsidRPr="00872860">
        <w:rPr>
          <w:i/>
        </w:rPr>
        <w:t>écuriser la maîtrise d’ouvrage »</w:t>
      </w:r>
      <w:r w:rsidR="001B5404">
        <w:t xml:space="preserve">. Cette sécurisation passe bien entendu par la visibilité </w:t>
      </w:r>
      <w:r w:rsidR="00241F8E">
        <w:t xml:space="preserve">et la compréhension </w:t>
      </w:r>
      <w:r w:rsidR="001B5404">
        <w:t>des compétences</w:t>
      </w:r>
      <w:r w:rsidR="000D0C2D">
        <w:t xml:space="preserve"> des prestataires</w:t>
      </w:r>
      <w:r>
        <w:t>.</w:t>
      </w:r>
    </w:p>
    <w:p w14:paraId="0A5AA731" w14:textId="2701F9A9" w:rsidR="000136C8" w:rsidRDefault="000136C8">
      <w:r>
        <w:t>Mais elle passe aussi par un rapport dialectique clair entre les deux acteurs que sont le maître d’ouvrage et le prestataire.</w:t>
      </w:r>
    </w:p>
    <w:p w14:paraId="2593827F" w14:textId="1705EA0F" w:rsidR="000136C8" w:rsidRDefault="000136C8">
      <w:r>
        <w:t>Il a souvent été exprimé le f</w:t>
      </w:r>
      <w:r w:rsidR="003B18A5">
        <w:t xml:space="preserve">ait qu’un bureau d’études doit </w:t>
      </w:r>
      <w:r w:rsidR="003B18A5" w:rsidRPr="00872860">
        <w:rPr>
          <w:i/>
        </w:rPr>
        <w:t>« savoir être à l’écoute</w:t>
      </w:r>
      <w:r w:rsidR="00F42BD7" w:rsidRPr="00872860">
        <w:rPr>
          <w:i/>
        </w:rPr>
        <w:t xml:space="preserve"> du commandit</w:t>
      </w:r>
      <w:r w:rsidR="003B18A5" w:rsidRPr="00872860">
        <w:rPr>
          <w:i/>
        </w:rPr>
        <w:t>aire »</w:t>
      </w:r>
      <w:r w:rsidR="00F42BD7">
        <w:t>.</w:t>
      </w:r>
      <w:r w:rsidR="00444B3E">
        <w:t xml:space="preserve"> Cela renvoie aux rapports </w:t>
      </w:r>
      <w:r w:rsidR="003B18A5">
        <w:t xml:space="preserve">parfois </w:t>
      </w:r>
      <w:r w:rsidR="00444B3E">
        <w:t>complexes entre le politique et le technique</w:t>
      </w:r>
      <w:r w:rsidR="003B18A5">
        <w:t>. Mais</w:t>
      </w:r>
      <w:r w:rsidR="00444B3E">
        <w:t xml:space="preserve"> cela renvoie aussi au fai</w:t>
      </w:r>
      <w:r w:rsidR="00872860">
        <w:t xml:space="preserve">t que le bureau d’études doit </w:t>
      </w:r>
      <w:r w:rsidR="00872860" w:rsidRPr="00872860">
        <w:rPr>
          <w:i/>
        </w:rPr>
        <w:t>« </w:t>
      </w:r>
      <w:r w:rsidR="00444B3E" w:rsidRPr="00872860">
        <w:rPr>
          <w:i/>
        </w:rPr>
        <w:t>savoir l</w:t>
      </w:r>
      <w:r w:rsidR="00872860" w:rsidRPr="00872860">
        <w:rPr>
          <w:i/>
        </w:rPr>
        <w:t>ire la vision du commanditaire »</w:t>
      </w:r>
      <w:r w:rsidR="00AA6872">
        <w:t>. E</w:t>
      </w:r>
      <w:r w:rsidR="00444B3E">
        <w:t>t</w:t>
      </w:r>
      <w:r w:rsidR="00E6257B">
        <w:t xml:space="preserve"> réciproquement. Nous retrouvons</w:t>
      </w:r>
      <w:r w:rsidR="00444B3E">
        <w:t xml:space="preserve"> ici la question des non-dits</w:t>
      </w:r>
      <w:r w:rsidR="00126F21">
        <w:t xml:space="preserve"> abord</w:t>
      </w:r>
      <w:r w:rsidR="00E6257B">
        <w:t>ée plus haut, non-dits</w:t>
      </w:r>
      <w:r w:rsidR="00126F21">
        <w:t xml:space="preserve"> dont il </w:t>
      </w:r>
      <w:r w:rsidR="003932C7">
        <w:t>faut forcément réduire les effets</w:t>
      </w:r>
      <w:r w:rsidR="00126F21">
        <w:t>.</w:t>
      </w:r>
    </w:p>
    <w:p w14:paraId="72492ED1" w14:textId="71B6D64B" w:rsidR="00E238DB" w:rsidRDefault="003932C7">
      <w:r w:rsidRPr="003932C7">
        <w:rPr>
          <w:i/>
        </w:rPr>
        <w:t>« </w:t>
      </w:r>
      <w:r w:rsidR="00E238DB" w:rsidRPr="003932C7">
        <w:rPr>
          <w:i/>
        </w:rPr>
        <w:t xml:space="preserve">Le maître d’ouvrage doit avoir affaire </w:t>
      </w:r>
      <w:r w:rsidRPr="003932C7">
        <w:rPr>
          <w:i/>
        </w:rPr>
        <w:t>à des gens préparés à l’écoute »</w:t>
      </w:r>
      <w:r w:rsidR="00E238DB">
        <w:t xml:space="preserve"> a-t-il été rappelé dans le débat. Ce que le conseil</w:t>
      </w:r>
      <w:r>
        <w:t>le</w:t>
      </w:r>
      <w:r w:rsidR="00D551C6">
        <w:t>r</w:t>
      </w:r>
      <w:r w:rsidR="00E238DB">
        <w:t xml:space="preserve"> d’État a souligné par une formule lapidaire :</w:t>
      </w:r>
      <w:r w:rsidR="00D551C6" w:rsidRPr="00D551C6">
        <w:rPr>
          <w:i/>
        </w:rPr>
        <w:t xml:space="preserve"> « L</w:t>
      </w:r>
      <w:r w:rsidR="00E72FE6" w:rsidRPr="00D551C6">
        <w:rPr>
          <w:i/>
        </w:rPr>
        <w:t>e maître d’ouvrage doit av</w:t>
      </w:r>
      <w:r w:rsidR="00D551C6" w:rsidRPr="00D551C6">
        <w:rPr>
          <w:i/>
        </w:rPr>
        <w:t>oir la certitude d’être écouté »</w:t>
      </w:r>
      <w:r w:rsidR="00E72FE6">
        <w:t xml:space="preserve"> en rappelant que ce thème était </w:t>
      </w:r>
      <w:r w:rsidR="00F02E49">
        <w:t xml:space="preserve">déjà </w:t>
      </w:r>
      <w:r w:rsidR="00E72FE6">
        <w:t>re</w:t>
      </w:r>
      <w:r w:rsidR="00D551C6">
        <w:t xml:space="preserve">ssorti lors de la concertation </w:t>
      </w:r>
      <w:r w:rsidR="00E72FE6">
        <w:t>réalisé</w:t>
      </w:r>
      <w:r w:rsidR="00D551C6">
        <w:t>e</w:t>
      </w:r>
      <w:r w:rsidR="000443DA">
        <w:t xml:space="preserve"> préalablement</w:t>
      </w:r>
      <w:r w:rsidR="00E72FE6">
        <w:t xml:space="preserve"> par questionnaires.</w:t>
      </w:r>
    </w:p>
    <w:p w14:paraId="5D3D1683" w14:textId="280DE9D5" w:rsidR="00E72FE6" w:rsidRDefault="00E72FE6">
      <w:r>
        <w:t>Mais cette écoute ne relève pas seulement du rapport binaire</w:t>
      </w:r>
      <w:r w:rsidR="000443DA">
        <w:t xml:space="preserve"> </w:t>
      </w:r>
      <w:r w:rsidR="000443DA" w:rsidRPr="000443DA">
        <w:rPr>
          <w:i/>
        </w:rPr>
        <w:t>« commanditaire-prestataire »</w:t>
      </w:r>
      <w:r w:rsidR="00FF1901" w:rsidRPr="000443DA">
        <w:rPr>
          <w:i/>
        </w:rPr>
        <w:t>,</w:t>
      </w:r>
      <w:r w:rsidR="00FF1901">
        <w:t xml:space="preserve"> car le bureau d’études ma</w:t>
      </w:r>
      <w:r w:rsidR="000443DA">
        <w:t xml:space="preserve">ndaté est souvent </w:t>
      </w:r>
      <w:r w:rsidR="001B1998">
        <w:t xml:space="preserve">aussi </w:t>
      </w:r>
      <w:r w:rsidR="000443DA">
        <w:t xml:space="preserve">en position </w:t>
      </w:r>
      <w:r w:rsidR="000443DA" w:rsidRPr="001B1998">
        <w:rPr>
          <w:i/>
        </w:rPr>
        <w:t>« </w:t>
      </w:r>
      <w:r w:rsidR="00FF1901" w:rsidRPr="001B1998">
        <w:rPr>
          <w:i/>
        </w:rPr>
        <w:t>de faire dialoguer toutes les partie</w:t>
      </w:r>
      <w:r w:rsidR="001B1998">
        <w:rPr>
          <w:i/>
        </w:rPr>
        <w:t>s prenantes autour du</w:t>
      </w:r>
      <w:r w:rsidR="000443DA" w:rsidRPr="001B1998">
        <w:rPr>
          <w:i/>
        </w:rPr>
        <w:t xml:space="preserve"> projet »</w:t>
      </w:r>
      <w:r w:rsidR="00FF1901">
        <w:t>. Ces parties prenantes peuvent être la population, les acteurs économiques,</w:t>
      </w:r>
      <w:r w:rsidR="00ED21C6">
        <w:t xml:space="preserve"> des institutions, des groupes de pressions, etc.</w:t>
      </w:r>
    </w:p>
    <w:p w14:paraId="295D9F55" w14:textId="7E2D39F4" w:rsidR="00F60CCC" w:rsidRDefault="00F60CCC">
      <w:r>
        <w:t>L</w:t>
      </w:r>
      <w:r w:rsidR="001B1998">
        <w:t>’</w:t>
      </w:r>
      <w:r>
        <w:t>a</w:t>
      </w:r>
      <w:r w:rsidR="001B1998">
        <w:t>p</w:t>
      </w:r>
      <w:r>
        <w:t xml:space="preserve">titude </w:t>
      </w:r>
      <w:r w:rsidR="001B1998">
        <w:t xml:space="preserve">à agir </w:t>
      </w:r>
      <w:r>
        <w:t>du prestataire va donc se jouer</w:t>
      </w:r>
      <w:r w:rsidR="001C4288" w:rsidRPr="001C4288">
        <w:t xml:space="preserve"> </w:t>
      </w:r>
      <w:r w:rsidR="001C4288">
        <w:t>aussi</w:t>
      </w:r>
      <w:r>
        <w:t xml:space="preserve"> sur sa capacité d’écoute et sur sa capacité à faire dialoguer les différents acteurs en présence.</w:t>
      </w:r>
    </w:p>
    <w:p w14:paraId="19BF852E" w14:textId="1CF8084F" w:rsidR="00F60CCC" w:rsidRDefault="00F60CCC">
      <w:r>
        <w:t xml:space="preserve">Ces </w:t>
      </w:r>
      <w:r w:rsidR="00E0056E" w:rsidRPr="00E0056E">
        <w:t>comportements</w:t>
      </w:r>
      <w:r>
        <w:t xml:space="preserve"> ne relèvent pas de la compétence</w:t>
      </w:r>
      <w:r w:rsidR="00C62905">
        <w:t xml:space="preserve"> au sens des connaissances techniques, mais de la posture que l’on adopte</w:t>
      </w:r>
      <w:r w:rsidR="001C4288">
        <w:t>,</w:t>
      </w:r>
      <w:r w:rsidR="00C62905">
        <w:t xml:space="preserve"> basée sur l’expérience et le savoir-faire.</w:t>
      </w:r>
    </w:p>
    <w:p w14:paraId="6C17F792" w14:textId="77777777" w:rsidR="00BE55CD" w:rsidRDefault="00BE55CD"/>
    <w:p w14:paraId="44820353" w14:textId="1CD32AA7" w:rsidR="005C0311" w:rsidRPr="003F6D91" w:rsidRDefault="005C0311">
      <w:r w:rsidRPr="003F6D91">
        <w:t xml:space="preserve">Les débats ont aussi porté sur </w:t>
      </w:r>
      <w:r w:rsidR="0010702F" w:rsidRPr="003F6D91">
        <w:t>le fait que la qualification de</w:t>
      </w:r>
      <w:r w:rsidR="00BE55CD" w:rsidRPr="003F6D91">
        <w:t>s structures doit fournir</w:t>
      </w:r>
      <w:r w:rsidR="00B2099F" w:rsidRPr="003F6D91">
        <w:t xml:space="preserve"> le regard que peuvent </w:t>
      </w:r>
      <w:r w:rsidR="00BE55CD" w:rsidRPr="003F6D91">
        <w:t xml:space="preserve">porter </w:t>
      </w:r>
      <w:r w:rsidR="00B2099F" w:rsidRPr="003F6D91">
        <w:t>d’anciens commanditaires</w:t>
      </w:r>
      <w:r w:rsidR="00BE55CD" w:rsidRPr="003F6D91">
        <w:t xml:space="preserve"> sur le bureau d’études.</w:t>
      </w:r>
    </w:p>
    <w:p w14:paraId="093B0F89" w14:textId="036A023A" w:rsidR="00205ED6" w:rsidRDefault="00205ED6">
      <w:r>
        <w:t>Des intervenants souligne</w:t>
      </w:r>
      <w:r w:rsidR="001C4288">
        <w:t xml:space="preserve">nt alors le rôle bénéfique du </w:t>
      </w:r>
      <w:r w:rsidR="001C4288" w:rsidRPr="00F02E49">
        <w:rPr>
          <w:i/>
        </w:rPr>
        <w:t>« retour-clients »</w:t>
      </w:r>
      <w:r w:rsidRPr="00F02E49">
        <w:rPr>
          <w:i/>
        </w:rPr>
        <w:t xml:space="preserve"> </w:t>
      </w:r>
      <w:r>
        <w:t xml:space="preserve">dans </w:t>
      </w:r>
      <w:r w:rsidR="001C4288">
        <w:t xml:space="preserve">les </w:t>
      </w:r>
      <w:r>
        <w:t>processus de qualification :</w:t>
      </w:r>
      <w:r w:rsidR="00CD166B">
        <w:t xml:space="preserve"> les avis exprimés par de précédents commanditaires sont très importants pour jauger et apprécier les ca</w:t>
      </w:r>
      <w:r w:rsidR="00EB0A2B">
        <w:t xml:space="preserve">pacités d’un prestataire. Ces </w:t>
      </w:r>
      <w:r w:rsidR="00EB0A2B" w:rsidRPr="00F02E49">
        <w:rPr>
          <w:i/>
        </w:rPr>
        <w:t>« retours-clients »</w:t>
      </w:r>
      <w:r w:rsidR="00EB0A2B">
        <w:t xml:space="preserve"> sont captés</w:t>
      </w:r>
      <w:r w:rsidR="00CD166B">
        <w:t xml:space="preserve"> par des enquêtes de satisfaction que réalise</w:t>
      </w:r>
      <w:r w:rsidR="00EB0A2B">
        <w:t>nt</w:t>
      </w:r>
      <w:r w:rsidR="00CD166B">
        <w:t xml:space="preserve"> les organismes qualificateurs.</w:t>
      </w:r>
    </w:p>
    <w:p w14:paraId="7617ECA8" w14:textId="77777777" w:rsidR="00BE55CD" w:rsidRPr="003F6D91" w:rsidRDefault="00BE55CD" w:rsidP="00BE55CD">
      <w:r w:rsidRPr="003F6D91">
        <w:t>Un ancien maire, devenu aujourd’hui parlementaire, a évoqué son expérience antérieure d’élu local en expliquant que dans les procédures d’appel d’offres, les  édiles –</w:t>
      </w:r>
      <w:r w:rsidRPr="003F6D91">
        <w:rPr>
          <w:i/>
        </w:rPr>
        <w:t> notamment dans le monde rural et les petites communes</w:t>
      </w:r>
      <w:r w:rsidRPr="003F6D91">
        <w:t xml:space="preserve"> – </w:t>
      </w:r>
      <w:r w:rsidRPr="003F6D91">
        <w:rPr>
          <w:i/>
        </w:rPr>
        <w:t>« travaillaient en réseaux »</w:t>
      </w:r>
      <w:r w:rsidRPr="003F6D91">
        <w:t xml:space="preserve">, c’est-à-dire qu’ils se consultent les uns les autres pour recueillir leurs avis et leurs appréciations sur tel ou tel prestataire. Ce qui, somme toute, est une forme empirique d’enquête </w:t>
      </w:r>
      <w:r w:rsidRPr="003F6D91">
        <w:rPr>
          <w:i/>
        </w:rPr>
        <w:t>« satisfaction-clients »</w:t>
      </w:r>
      <w:r w:rsidRPr="003F6D91">
        <w:t>…</w:t>
      </w:r>
    </w:p>
    <w:p w14:paraId="0EDEDFA5" w14:textId="77777777" w:rsidR="00BE55CD" w:rsidRPr="003F6D91" w:rsidRDefault="00BE55CD" w:rsidP="00BE55CD">
      <w:r w:rsidRPr="003F6D91">
        <w:t>Un autre élu a abondé dans ce sens en indiquant que lorsque l’on avait affaire à un nouveau bureau d’études, il était important d’avoir le regard d’autres élus sur celui-ci.</w:t>
      </w:r>
    </w:p>
    <w:p w14:paraId="6E819100" w14:textId="77777777" w:rsidR="00BE55CD" w:rsidRDefault="00BE55CD"/>
    <w:p w14:paraId="1F814419" w14:textId="63A4D32B" w:rsidR="00CD166B" w:rsidRDefault="00544D19" w:rsidP="00AF3921">
      <w:pPr>
        <w:pStyle w:val="Titre1"/>
      </w:pPr>
      <w:r>
        <w:t>2 – Qualification des structures et petites collecti</w:t>
      </w:r>
      <w:r w:rsidR="00CC0E36">
        <w:t>vités</w:t>
      </w:r>
    </w:p>
    <w:p w14:paraId="4A9CF7E5" w14:textId="165137F3" w:rsidR="00CD166B" w:rsidRDefault="005D6DC2">
      <w:r>
        <w:t>Dans les débats, c</w:t>
      </w:r>
      <w:r w:rsidR="00E30F5D">
        <w:t xml:space="preserve">ette question </w:t>
      </w:r>
      <w:r w:rsidR="00D40262">
        <w:t xml:space="preserve">de </w:t>
      </w:r>
      <w:r>
        <w:t xml:space="preserve">la </w:t>
      </w:r>
      <w:r w:rsidR="00D40262">
        <w:t xml:space="preserve">sécurisation du commanditaire a pris une importance </w:t>
      </w:r>
      <w:r>
        <w:t xml:space="preserve">toute </w:t>
      </w:r>
      <w:r w:rsidR="00D40262">
        <w:t>particulière à propos des petites collectivités.</w:t>
      </w:r>
    </w:p>
    <w:p w14:paraId="48CB9F66" w14:textId="77777777" w:rsidR="002F05E8" w:rsidRDefault="00D40262">
      <w:r>
        <w:t>De</w:t>
      </w:r>
      <w:r w:rsidR="00DB7987">
        <w:t>ux</w:t>
      </w:r>
      <w:r>
        <w:t xml:space="preserve"> faits caractérisent cette situation. </w:t>
      </w:r>
    </w:p>
    <w:p w14:paraId="7C2E20F0" w14:textId="71DA9A74" w:rsidR="00D40262" w:rsidRDefault="00D40262">
      <w:r>
        <w:t>D’une part,</w:t>
      </w:r>
      <w:r w:rsidR="0025023A">
        <w:t xml:space="preserve"> les petites collectivités n’ont pas régulièrement recours à des prestataires externes car l’administration de leur territoire réclame un volume d’études</w:t>
      </w:r>
      <w:r w:rsidR="00F02E49">
        <w:t xml:space="preserve"> ni conséquent</w:t>
      </w:r>
      <w:r w:rsidR="0025023A">
        <w:t xml:space="preserve">, ni régulier. Elles sont donc peu familiarisées avec le monde des bureaux d’études et </w:t>
      </w:r>
      <w:r w:rsidR="00DB4A3A">
        <w:t xml:space="preserve">elles </w:t>
      </w:r>
      <w:r w:rsidR="0025023A">
        <w:t>n</w:t>
      </w:r>
      <w:r w:rsidR="00DB4A3A">
        <w:t>’</w:t>
      </w:r>
      <w:r w:rsidR="0025023A">
        <w:t>on</w:t>
      </w:r>
      <w:r w:rsidR="00DB4A3A">
        <w:t>t</w:t>
      </w:r>
      <w:r w:rsidR="0025023A">
        <w:t xml:space="preserve"> donc pas forcément les capacités p</w:t>
      </w:r>
      <w:r w:rsidR="00BF7DD7">
        <w:t xml:space="preserve">our juger de leurs aptitudes. </w:t>
      </w:r>
      <w:r w:rsidR="00BF7DD7" w:rsidRPr="00BF7DD7">
        <w:rPr>
          <w:i/>
        </w:rPr>
        <w:t>« </w:t>
      </w:r>
      <w:r w:rsidR="0025023A" w:rsidRPr="00BF7DD7">
        <w:rPr>
          <w:i/>
        </w:rPr>
        <w:t>Ce n’est pas tous les jours</w:t>
      </w:r>
      <w:r w:rsidR="00DB7987" w:rsidRPr="00BF7DD7">
        <w:rPr>
          <w:i/>
        </w:rPr>
        <w:t xml:space="preserve"> que nous passons commande d’</w:t>
      </w:r>
      <w:r w:rsidR="00BF7DD7" w:rsidRPr="00BF7DD7">
        <w:rPr>
          <w:i/>
        </w:rPr>
        <w:t>un bureau d’études en urbanisme… »</w:t>
      </w:r>
      <w:r w:rsidR="00DB7987">
        <w:t xml:space="preserve"> rappellera le maire d’une petite commune.</w:t>
      </w:r>
    </w:p>
    <w:p w14:paraId="3EF1AAE0" w14:textId="1D508A35" w:rsidR="00DB7987" w:rsidRDefault="002F05E8">
      <w:r>
        <w:t>D’autre part, ces collectivités n’ont pas forcément le personnel</w:t>
      </w:r>
      <w:r w:rsidR="00DB7987">
        <w:t xml:space="preserve"> technique </w:t>
      </w:r>
      <w:r w:rsidR="00D7512F">
        <w:t>apte</w:t>
      </w:r>
      <w:r w:rsidR="00DB7987">
        <w:t xml:space="preserve"> à analyser les offres en profondeur et </w:t>
      </w:r>
      <w:r w:rsidR="003E4585">
        <w:t xml:space="preserve">doté de </w:t>
      </w:r>
      <w:r w:rsidR="00DB7987">
        <w:t>l’habileté</w:t>
      </w:r>
      <w:r w:rsidR="008C5EFE">
        <w:t xml:space="preserve"> – </w:t>
      </w:r>
      <w:r w:rsidR="008C5EFE" w:rsidRPr="008C5EFE">
        <w:rPr>
          <w:i/>
        </w:rPr>
        <w:t>par manque d’expérience</w:t>
      </w:r>
      <w:r w:rsidR="008C5EFE">
        <w:t> –</w:t>
      </w:r>
      <w:r w:rsidR="00DB7987">
        <w:t xml:space="preserve"> à décrypter le milieu professionnel</w:t>
      </w:r>
      <w:r w:rsidR="00FA4C6C">
        <w:t xml:space="preserve"> dans ses différentes composantes ou compétences.</w:t>
      </w:r>
    </w:p>
    <w:p w14:paraId="1F74ED33" w14:textId="09789B9C" w:rsidR="00FA4C6C" w:rsidRDefault="00FA4C6C">
      <w:r>
        <w:t>Pour nombre d’intervenants, la qualification des structures joue alors parfaitement son rôle pour ce type de collectivité, car elle aide à trouver des repères pour choisir les prestataires</w:t>
      </w:r>
      <w:r w:rsidR="00D27354">
        <w:t xml:space="preserve">. Elle </w:t>
      </w:r>
      <w:r w:rsidR="004378E2">
        <w:t xml:space="preserve">aide </w:t>
      </w:r>
      <w:r w:rsidR="00BD0E42">
        <w:t xml:space="preserve">les commanditaires </w:t>
      </w:r>
      <w:r w:rsidR="004378E2">
        <w:t xml:space="preserve">à trouver le type de compétences adaptées à leurs questions </w:t>
      </w:r>
      <w:r w:rsidR="00BD0E42">
        <w:t>tout en leurs offrant</w:t>
      </w:r>
      <w:r>
        <w:t xml:space="preserve"> des garanties de professionnalisme</w:t>
      </w:r>
      <w:r w:rsidR="00BD0E42">
        <w:t xml:space="preserve"> de</w:t>
      </w:r>
      <w:r w:rsidR="006321BA">
        <w:t xml:space="preserve"> la part de</w:t>
      </w:r>
      <w:r w:rsidR="00BD0E42">
        <w:t xml:space="preserve">s </w:t>
      </w:r>
      <w:r w:rsidR="00394EAA">
        <w:t>bureaux d’études</w:t>
      </w:r>
      <w:r w:rsidR="00772431">
        <w:t>.</w:t>
      </w:r>
    </w:p>
    <w:p w14:paraId="2444ADD8" w14:textId="4C12ABC2" w:rsidR="00772431" w:rsidRDefault="00772431">
      <w:r>
        <w:t>La situation est différente dans les grande</w:t>
      </w:r>
      <w:r w:rsidR="00394EAA">
        <w:t>s collectivités, beaucoup plus habituées</w:t>
      </w:r>
      <w:r>
        <w:t xml:space="preserve"> à côtoyer régulièrement différents types de prestataires, et bien armé</w:t>
      </w:r>
      <w:r w:rsidR="00394EAA">
        <w:t>es</w:t>
      </w:r>
      <w:r>
        <w:t xml:space="preserve"> en termes de compétences techniques pour évaluer compétences et aptitudes chez ceux-ci.</w:t>
      </w:r>
    </w:p>
    <w:p w14:paraId="6CD1EB0A" w14:textId="2BCA59F5" w:rsidR="00772431" w:rsidRDefault="00772431">
      <w:r>
        <w:t>La qualification des structures,</w:t>
      </w:r>
      <w:r w:rsidR="00725C55">
        <w:t xml:space="preserve"> tout en étant bénéfique à l’ensemble de la maîtrise d’ouvrage, trouve donc une application particulièrement utile en direction des petites collectivités qui n’ont pas de capacités d’analyse suffisante</w:t>
      </w:r>
      <w:r w:rsidR="00344A17">
        <w:rPr>
          <w:rStyle w:val="Marquenotebasdepage"/>
        </w:rPr>
        <w:footnoteReference w:id="2"/>
      </w:r>
      <w:r w:rsidR="00725C55">
        <w:t>.</w:t>
      </w:r>
    </w:p>
    <w:p w14:paraId="601DC75E" w14:textId="181E4026" w:rsidR="001E005E" w:rsidRPr="003F6D91" w:rsidRDefault="00647441" w:rsidP="001E005E">
      <w:r w:rsidRPr="003F6D91">
        <w:t>Le</w:t>
      </w:r>
      <w:r w:rsidR="001E005E" w:rsidRPr="003F6D91">
        <w:t xml:space="preserve"> maire-adjoint d’une petite commune a d’ailleurs rappelé qu’en matière d’appels d’offres, la collectivité doit analyser </w:t>
      </w:r>
      <w:r w:rsidRPr="003F6D91">
        <w:t xml:space="preserve">la proposition du soumissionnaire selon </w:t>
      </w:r>
      <w:r w:rsidR="001E005E" w:rsidRPr="003F6D91">
        <w:t xml:space="preserve">une grille d’analyse. Or, </w:t>
      </w:r>
      <w:r w:rsidR="001E005E" w:rsidRPr="003F6D91">
        <w:rPr>
          <w:i/>
        </w:rPr>
        <w:t>« la qualification,</w:t>
      </w:r>
      <w:r w:rsidR="001E005E" w:rsidRPr="003F6D91">
        <w:t xml:space="preserve"> a-t-il indiqué, </w:t>
      </w:r>
      <w:r w:rsidR="001E005E" w:rsidRPr="003F6D91">
        <w:rPr>
          <w:i/>
        </w:rPr>
        <w:t>règle une partie du problème du maître d’ouvrage car l’organisme qualificateur a déjà fait une partie du travail préalable</w:t>
      </w:r>
      <w:r w:rsidRPr="003F6D91">
        <w:rPr>
          <w:i/>
        </w:rPr>
        <w:t> »</w:t>
      </w:r>
      <w:r w:rsidR="001E005E" w:rsidRPr="003F6D91">
        <w:t>.</w:t>
      </w:r>
    </w:p>
    <w:p w14:paraId="71764CF8" w14:textId="77777777" w:rsidR="001E005E" w:rsidRPr="003F6D91" w:rsidRDefault="001E005E" w:rsidP="001E005E">
      <w:r w:rsidRPr="003F6D91">
        <w:t>Un autre élu a abondé dans ce sens en disant que la plus-value que la qualification des structures apportera aux élus, ce sera de leur faire gagner du temps.</w:t>
      </w:r>
    </w:p>
    <w:p w14:paraId="43EF36FF" w14:textId="77777777" w:rsidR="001E005E" w:rsidRDefault="001E005E"/>
    <w:p w14:paraId="4CE647EF" w14:textId="4C7C9E70" w:rsidR="00572AD1" w:rsidRDefault="007604E4" w:rsidP="007604E4">
      <w:pPr>
        <w:pStyle w:val="Titre1"/>
      </w:pPr>
      <w:r>
        <w:t>3 –</w:t>
      </w:r>
      <w:r w:rsidR="00B45CB0">
        <w:t xml:space="preserve"> </w:t>
      </w:r>
      <w:r w:rsidR="00462C93">
        <w:t>La fiabilité</w:t>
      </w:r>
      <w:r w:rsidR="00080730">
        <w:t xml:space="preserve"> du</w:t>
      </w:r>
      <w:r w:rsidR="00572AD1">
        <w:t xml:space="preserve"> processus de qualification</w:t>
      </w:r>
    </w:p>
    <w:p w14:paraId="69C80B35" w14:textId="6A46673B" w:rsidR="00572AD1" w:rsidRDefault="00572AD1">
      <w:r>
        <w:t>Si la qualification des structures est au service de la maîtrise d’ouvrage,</w:t>
      </w:r>
      <w:r w:rsidR="00FC34FE">
        <w:t xml:space="preserve"> encore faut-il que l’attribution de cette qualification se réalise dans des conditions d’objectivité et d’impartialité strictes. Il</w:t>
      </w:r>
      <w:r w:rsidR="00075203">
        <w:t xml:space="preserve"> est en effet important que les</w:t>
      </w:r>
      <w:r w:rsidR="009C5700">
        <w:t xml:space="preserve"> utilisateurs </w:t>
      </w:r>
      <w:r w:rsidR="00FC34FE">
        <w:t xml:space="preserve">de cette qualification aient des </w:t>
      </w:r>
      <w:r w:rsidR="00BE3A6C">
        <w:rPr>
          <w:i/>
        </w:rPr>
        <w:t>« </w:t>
      </w:r>
      <w:r w:rsidR="00932A1C" w:rsidRPr="00075203">
        <w:rPr>
          <w:i/>
        </w:rPr>
        <w:t xml:space="preserve">garanties sur le processus de qualification </w:t>
      </w:r>
      <w:r w:rsidR="00075203" w:rsidRPr="00075203">
        <w:rPr>
          <w:i/>
        </w:rPr>
        <w:t>et sur ses règles procédurales »</w:t>
      </w:r>
      <w:r w:rsidR="00932A1C">
        <w:t xml:space="preserve"> comme l’a rappelé l’un des intervenants.</w:t>
      </w:r>
    </w:p>
    <w:p w14:paraId="0BFC4C48" w14:textId="70F79F6C" w:rsidR="00932A1C" w:rsidRDefault="00932A1C">
      <w:r>
        <w:t>C’e</w:t>
      </w:r>
      <w:r w:rsidR="00EE55C7">
        <w:t>st là qu’intervient le Cofrac – </w:t>
      </w:r>
      <w:r w:rsidR="00EE55C7" w:rsidRPr="00EE55C7">
        <w:rPr>
          <w:i/>
        </w:rPr>
        <w:t>C</w:t>
      </w:r>
      <w:r w:rsidRPr="00EE55C7">
        <w:rPr>
          <w:i/>
        </w:rPr>
        <w:t>omi</w:t>
      </w:r>
      <w:r w:rsidR="00EE55C7" w:rsidRPr="00EE55C7">
        <w:rPr>
          <w:i/>
        </w:rPr>
        <w:t>té français d’accréditation</w:t>
      </w:r>
      <w:r w:rsidR="00EE55C7">
        <w:rPr>
          <w:rStyle w:val="Marquenotebasdepage"/>
          <w:i/>
        </w:rPr>
        <w:footnoteReference w:id="3"/>
      </w:r>
      <w:r w:rsidR="00EE55C7">
        <w:t> </w:t>
      </w:r>
      <w:r>
        <w:t>– qui a pour rôle d’accréditer les organismes qualificateurs.</w:t>
      </w:r>
      <w:r w:rsidR="004C0EE3">
        <w:t xml:space="preserve"> À la demande de l’Europe, chaque pays s’est doté d’un tel organisme dont les caractéristiques sont d’être totalement indépendant des pouvoirs publics, des acteurs éc</w:t>
      </w:r>
      <w:r w:rsidR="00BE3A6C">
        <w:t>onomiques, des prestataires..</w:t>
      </w:r>
      <w:r w:rsidR="004C0EE3">
        <w:t>.</w:t>
      </w:r>
    </w:p>
    <w:p w14:paraId="4FC2785C" w14:textId="13C32F4F" w:rsidR="004C0EE3" w:rsidRDefault="004C0EE3">
      <w:r>
        <w:t>En accréditant</w:t>
      </w:r>
      <w:r w:rsidR="00266D26" w:rsidRPr="00266D26">
        <w:t xml:space="preserve"> </w:t>
      </w:r>
      <w:r w:rsidR="00266D26">
        <w:t>les organismes qualificateurs</w:t>
      </w:r>
      <w:r>
        <w:t xml:space="preserve"> selon des critères très stricts, </w:t>
      </w:r>
      <w:r w:rsidR="00266D26">
        <w:t>le Cofrac</w:t>
      </w:r>
      <w:r w:rsidR="00E946CD">
        <w:t xml:space="preserve"> garanti</w:t>
      </w:r>
      <w:r w:rsidR="00266D26">
        <w:t>t</w:t>
      </w:r>
      <w:r w:rsidR="00E946CD">
        <w:t xml:space="preserve"> trois paramètres dans le processus </w:t>
      </w:r>
      <w:r w:rsidR="00266D26">
        <w:t>de qualification des structures :</w:t>
      </w:r>
    </w:p>
    <w:p w14:paraId="273B8B38" w14:textId="6D09D507" w:rsidR="00FA4A03" w:rsidRDefault="00FA4A03" w:rsidP="00BE3A6C">
      <w:pPr>
        <w:ind w:left="567"/>
      </w:pPr>
      <w:r>
        <w:t>1 – l’impartialité du processus de qualification ;</w:t>
      </w:r>
    </w:p>
    <w:p w14:paraId="2D3E63C8" w14:textId="0C76C126" w:rsidR="00FA4A03" w:rsidRDefault="00FA4A03" w:rsidP="00BE3A6C">
      <w:pPr>
        <w:ind w:left="567"/>
      </w:pPr>
      <w:r>
        <w:t>2 – la transparence du processus ;</w:t>
      </w:r>
    </w:p>
    <w:p w14:paraId="42DC7CF6" w14:textId="6DC2DE60" w:rsidR="00FA4A03" w:rsidRDefault="00AB6D7F" w:rsidP="00BE3A6C">
      <w:pPr>
        <w:ind w:left="567"/>
      </w:pPr>
      <w:r>
        <w:t>3 – l’indépendance de ses actes</w:t>
      </w:r>
      <w:r w:rsidR="00FA4A03">
        <w:t>.</w:t>
      </w:r>
    </w:p>
    <w:p w14:paraId="7F4497E0" w14:textId="46537D62" w:rsidR="00270AFD" w:rsidRDefault="00FA4A03">
      <w:r>
        <w:t>Ces valeurs sont importantes pour les maîtres d’ouvrage, car elles off</w:t>
      </w:r>
      <w:r w:rsidR="00080730">
        <w:t>rent les garanties nécessaires pour</w:t>
      </w:r>
      <w:r>
        <w:t xml:space="preserve"> l’attr</w:t>
      </w:r>
      <w:r w:rsidR="00080730">
        <w:t>ibution de la qualification et pour</w:t>
      </w:r>
      <w:r>
        <w:t xml:space="preserve"> son contrôle sur la durée.</w:t>
      </w:r>
      <w:r w:rsidR="00D312D9">
        <w:t xml:space="preserve"> C’est un point important pour légitimer la qualification des structures auprès des maîtres d’ouvrage.</w:t>
      </w:r>
    </w:p>
    <w:p w14:paraId="6183A240" w14:textId="76F126D4" w:rsidR="00D312D9" w:rsidRDefault="00D312D9">
      <w:r>
        <w:t xml:space="preserve">Indiquons que les règles du Cofrac </w:t>
      </w:r>
      <w:r w:rsidR="0096769F">
        <w:t xml:space="preserve"> s’appuient sur trois batteries de critères : la solidité et la probité de la structure, ses méthodes et ses compétences techniqu</w:t>
      </w:r>
      <w:r w:rsidR="00FD2861">
        <w:t>es</w:t>
      </w:r>
      <w:r w:rsidR="0096769F">
        <w:t xml:space="preserve"> et ses références</w:t>
      </w:r>
      <w:r w:rsidR="00FD2861">
        <w:t xml:space="preserve"> et expériences</w:t>
      </w:r>
      <w:r w:rsidR="00F65D98">
        <w:t>. Parmi ces dernières</w:t>
      </w:r>
      <w:r w:rsidR="0096769F">
        <w:t>, le</w:t>
      </w:r>
      <w:r w:rsidR="00F65D98">
        <w:t>s évaluations de satisfaction-</w:t>
      </w:r>
      <w:r w:rsidR="0096769F">
        <w:t xml:space="preserve">clients jouent un </w:t>
      </w:r>
      <w:r w:rsidR="00DF2824">
        <w:t xml:space="preserve">rôle essentiel : il s’agit de </w:t>
      </w:r>
      <w:r w:rsidR="004E7BF6">
        <w:t>l’appréciation</w:t>
      </w:r>
      <w:r w:rsidR="0096769F">
        <w:t xml:space="preserve"> que porte</w:t>
      </w:r>
      <w:r w:rsidR="004E7BF6">
        <w:t>nt</w:t>
      </w:r>
      <w:r w:rsidR="0096769F">
        <w:t xml:space="preserve"> les précédents commanditaires sur le</w:t>
      </w:r>
      <w:r w:rsidR="004E7BF6">
        <w:t>s travaux qu’a réalisé le</w:t>
      </w:r>
      <w:r w:rsidR="0096769F">
        <w:t xml:space="preserve"> prestataire.</w:t>
      </w:r>
    </w:p>
    <w:p w14:paraId="15033423" w14:textId="6CACE5AC" w:rsidR="00496F74" w:rsidRDefault="00496F74">
      <w:r>
        <w:t>Nous retrouv</w:t>
      </w:r>
      <w:r w:rsidR="0070301F">
        <w:t xml:space="preserve">ons là l’importance du </w:t>
      </w:r>
      <w:r w:rsidR="0070301F" w:rsidRPr="00E674C2">
        <w:rPr>
          <w:i/>
        </w:rPr>
        <w:t>« retour-client »</w:t>
      </w:r>
      <w:r>
        <w:t xml:space="preserve"> déjà  évoqué en amont par plusieurs des intervenants</w:t>
      </w:r>
      <w:r w:rsidR="003168EF">
        <w:t>.</w:t>
      </w:r>
    </w:p>
    <w:p w14:paraId="2A4FBF3C" w14:textId="7BDBCDE9" w:rsidR="00462C93" w:rsidRDefault="00462C93">
      <w:r>
        <w:t xml:space="preserve">La fiabilité et l’indépendance </w:t>
      </w:r>
      <w:r w:rsidR="00626FB4">
        <w:t xml:space="preserve">du processus de qualification </w:t>
      </w:r>
      <w:r w:rsidR="008D3804">
        <w:t>s</w:t>
      </w:r>
      <w:r w:rsidR="00626FB4">
        <w:t>on</w:t>
      </w:r>
      <w:r w:rsidR="008D3804">
        <w:t>t donc donnée</w:t>
      </w:r>
      <w:r w:rsidR="00626FB4">
        <w:t>s</w:t>
      </w:r>
      <w:r w:rsidR="008D3804">
        <w:t xml:space="preserve"> par l’accréditation de l’organisme </w:t>
      </w:r>
      <w:r w:rsidR="00B45CB0">
        <w:t>qualificateur auprès du Cofrac.</w:t>
      </w:r>
    </w:p>
    <w:p w14:paraId="6A6F0BD0" w14:textId="1C6B9A30" w:rsidR="003168EF" w:rsidRDefault="003168EF">
      <w:r>
        <w:t>Un chantier est actuellement engagé en Europe avec les organismes qualificateurs</w:t>
      </w:r>
      <w:r w:rsidR="007E2CC9">
        <w:t xml:space="preserve"> afin d’approfondir et d’harmoniser les pratiques et les normes de qualification. Son aboutissement est prévu en 2020.</w:t>
      </w:r>
    </w:p>
    <w:p w14:paraId="34AEB93E" w14:textId="3CD2994D" w:rsidR="007E2CC9" w:rsidRDefault="007D2D72" w:rsidP="00F30D01">
      <w:pPr>
        <w:pStyle w:val="Titre1"/>
      </w:pPr>
      <w:r>
        <w:t xml:space="preserve">4 – </w:t>
      </w:r>
      <w:r w:rsidR="00F30D01">
        <w:t>Le rôle stratégique de l’assistance à la maîtrise d’ouvrage</w:t>
      </w:r>
    </w:p>
    <w:p w14:paraId="42D2DCC4" w14:textId="77777777" w:rsidR="00D64EC6" w:rsidRDefault="007D4C42">
      <w:r>
        <w:t>Les débats ont permis de souligner le rôle stratégique de l’assistance à la maîtrise d’ouvrage.</w:t>
      </w:r>
      <w:r w:rsidR="00D64EC6">
        <w:t xml:space="preserve"> </w:t>
      </w:r>
      <w:r>
        <w:t>E</w:t>
      </w:r>
      <w:r w:rsidR="00D64EC6">
        <w:t>lle est perçue comme</w:t>
      </w:r>
      <w:r w:rsidR="0090161D">
        <w:t xml:space="preserve"> une fonction </w:t>
      </w:r>
      <w:r w:rsidR="00D64EC6">
        <w:t>d’</w:t>
      </w:r>
      <w:r>
        <w:t>intermédiaire entre le commanditaire et le prestataire</w:t>
      </w:r>
      <w:r w:rsidR="00D64EC6">
        <w:t>.</w:t>
      </w:r>
    </w:p>
    <w:p w14:paraId="0D974522" w14:textId="32FD0D88" w:rsidR="007D4C42" w:rsidRDefault="00CA4131">
      <w:r>
        <w:t>D</w:t>
      </w:r>
      <w:r w:rsidR="007D4C42">
        <w:t>ans les p</w:t>
      </w:r>
      <w:r>
        <w:t>etites collectivités</w:t>
      </w:r>
      <w:r w:rsidR="007D4C42">
        <w:t xml:space="preserve">, elle pallie </w:t>
      </w:r>
      <w:r>
        <w:t xml:space="preserve">souvent </w:t>
      </w:r>
      <w:r w:rsidR="007D4C42">
        <w:t>le</w:t>
      </w:r>
      <w:r w:rsidR="0090161D">
        <w:t xml:space="preserve"> manque d</w:t>
      </w:r>
      <w:r>
        <w:t>’ingénierie en interne : e</w:t>
      </w:r>
      <w:r w:rsidR="00E129BA">
        <w:t>lle se positionne</w:t>
      </w:r>
      <w:r w:rsidR="0090161D">
        <w:t xml:space="preserve"> aux côtés du maître d’ouvrage pour l’aider à définir sa stratégie ou son projet,</w:t>
      </w:r>
      <w:r w:rsidR="00E129BA">
        <w:t xml:space="preserve"> pour l’assister dans ses choix de </w:t>
      </w:r>
      <w:r w:rsidR="002706A8">
        <w:t>procédures</w:t>
      </w:r>
      <w:r w:rsidR="003C23D4">
        <w:t xml:space="preserve"> ou de modes opératoires</w:t>
      </w:r>
      <w:r w:rsidR="002706A8">
        <w:t xml:space="preserve">, </w:t>
      </w:r>
      <w:r w:rsidR="00867D7F">
        <w:t>pour l’accompagner dans la sélection</w:t>
      </w:r>
      <w:r w:rsidR="002706A8">
        <w:t xml:space="preserve"> des opérateurs ou des prestat</w:t>
      </w:r>
      <w:r w:rsidR="004C2BCF">
        <w:t>aires..</w:t>
      </w:r>
      <w:r w:rsidR="002706A8">
        <w:t>.</w:t>
      </w:r>
    </w:p>
    <w:p w14:paraId="176F2204" w14:textId="73BA402C" w:rsidR="002706A8" w:rsidRDefault="0007751A">
      <w:r>
        <w:t>Une</w:t>
      </w:r>
      <w:r w:rsidRPr="0007751A">
        <w:t xml:space="preserve"> mission</w:t>
      </w:r>
      <w:r>
        <w:t xml:space="preserve"> d’</w:t>
      </w:r>
      <w:r w:rsidR="002706A8">
        <w:t>assistance à maîtrise d’ouvrage représente aussi un temps d’ouverture ou de liberté</w:t>
      </w:r>
      <w:r w:rsidR="00700E93">
        <w:t xml:space="preserve"> dans le processus décisionnel</w:t>
      </w:r>
      <w:r w:rsidR="002706A8">
        <w:t>, puisque le bureau d’études en position</w:t>
      </w:r>
      <w:r w:rsidR="000B7902">
        <w:t xml:space="preserve"> d’AMO aide la collectivité à</w:t>
      </w:r>
      <w:r>
        <w:t xml:space="preserve"> trouver</w:t>
      </w:r>
      <w:r w:rsidR="00F3163B">
        <w:t xml:space="preserve"> sa voie ou sa stratégie, l’assiste dans des négociations avec des instances susceptibles d’être missionnée</w:t>
      </w:r>
      <w:r>
        <w:t>s</w:t>
      </w:r>
      <w:r w:rsidR="00F3163B">
        <w:t xml:space="preserve"> par la collectivité, mais sans pour</w:t>
      </w:r>
      <w:r w:rsidR="00633A5E">
        <w:t xml:space="preserve"> autant être parti</w:t>
      </w:r>
      <w:r>
        <w:t>e</w:t>
      </w:r>
      <w:r w:rsidR="000B7902">
        <w:t xml:space="preserve"> prenante. Elle se situe</w:t>
      </w:r>
      <w:r w:rsidR="00F3163B">
        <w:t xml:space="preserve"> donc en dehors des intérêts des différents acteurs.</w:t>
      </w:r>
    </w:p>
    <w:p w14:paraId="446769B3" w14:textId="0A377936" w:rsidR="00DD6CE8" w:rsidRDefault="000B7902">
      <w:r>
        <w:t>Dans ce sens</w:t>
      </w:r>
      <w:r w:rsidR="00DD6CE8">
        <w:t>, il a été souligné que l</w:t>
      </w:r>
      <w:r w:rsidR="00D7051F">
        <w:t>’assistant</w:t>
      </w:r>
      <w:r w:rsidR="00DD6CE8">
        <w:t xml:space="preserve"> à maîtrise d’ouvrage, parce qu’il est en position d’intermédiaire, e</w:t>
      </w:r>
      <w:r w:rsidR="0097618F">
        <w:t>s</w:t>
      </w:r>
      <w:r w:rsidR="00DD6CE8">
        <w:t>t le mieux à même</w:t>
      </w:r>
      <w:r w:rsidR="0097618F">
        <w:t xml:space="preserve"> de faire surgir la transversalité ou de clarifier les non-dits.</w:t>
      </w:r>
    </w:p>
    <w:p w14:paraId="221B804E" w14:textId="0F5E90D3" w:rsidR="0097618F" w:rsidRDefault="0097618F">
      <w:r>
        <w:t>C’est pour toutes ces raisons qu’un intervenant en est venu à dire que l’AMO</w:t>
      </w:r>
      <w:r w:rsidR="00534C87">
        <w:t xml:space="preserve"> avait un grand avenir devant elle, car elle renforce </w:t>
      </w:r>
      <w:r w:rsidR="00262424">
        <w:t>l’expertise des collectivités</w:t>
      </w:r>
      <w:r w:rsidR="00534C87">
        <w:t xml:space="preserve"> et, pour les plus petites</w:t>
      </w:r>
      <w:r w:rsidR="00B24222">
        <w:t xml:space="preserve">, </w:t>
      </w:r>
      <w:r w:rsidR="00262424">
        <w:t xml:space="preserve">elle </w:t>
      </w:r>
      <w:r w:rsidR="00B24222">
        <w:t>contribue</w:t>
      </w:r>
      <w:r w:rsidR="00534C87">
        <w:t xml:space="preserve"> à pallier la perte </w:t>
      </w:r>
      <w:r w:rsidR="00314AAD">
        <w:t>d’ingénierie d’appui survenue</w:t>
      </w:r>
      <w:r w:rsidR="00534C87">
        <w:t xml:space="preserve"> après le retrait de l’État avec la décentralisation.</w:t>
      </w:r>
    </w:p>
    <w:p w14:paraId="0C699EAD" w14:textId="30A97B9C" w:rsidR="00CC6EEB" w:rsidRDefault="00CC6EEB">
      <w:r>
        <w:t>L’assistance à maît</w:t>
      </w:r>
      <w:r w:rsidR="00262424">
        <w:t>rise d’ouvrage est bien entendu</w:t>
      </w:r>
      <w:r>
        <w:t xml:space="preserve"> </w:t>
      </w:r>
      <w:r w:rsidR="00262424">
        <w:t xml:space="preserve">aussi </w:t>
      </w:r>
      <w:r>
        <w:t>une prestation qualifiable. Elle doit cependant obéir à certaines règles déontologiques</w:t>
      </w:r>
      <w:r w:rsidR="00C55101">
        <w:t xml:space="preserve"> comme ne pas être intéressé</w:t>
      </w:r>
      <w:r w:rsidR="00AB76DF">
        <w:t>e</w:t>
      </w:r>
      <w:r w:rsidR="00C55101">
        <w:t xml:space="preserve"> à l’opérationnel qui suivra les décisions de la collectivité, afin de pouvoir jouer pleinement son rôle d</w:t>
      </w:r>
      <w:r w:rsidR="00AB76DF">
        <w:t>e conseil neutre et indépendant</w:t>
      </w:r>
      <w:r w:rsidR="00C55101">
        <w:t>.</w:t>
      </w:r>
    </w:p>
    <w:p w14:paraId="22BB4922" w14:textId="5E1EFA87" w:rsidR="0022341B" w:rsidRDefault="0022341B" w:rsidP="0022341B">
      <w:pPr>
        <w:pStyle w:val="Titre1"/>
      </w:pPr>
      <w:r>
        <w:t>5 – Le dumping</w:t>
      </w:r>
    </w:p>
    <w:p w14:paraId="05F15002" w14:textId="77BF743F" w:rsidR="0022341B" w:rsidRDefault="00B71E9D">
      <w:r>
        <w:t xml:space="preserve">Dans un autre ordre d’idées, la question du dumping de </w:t>
      </w:r>
      <w:r w:rsidR="00AB76DF">
        <w:t xml:space="preserve">certains </w:t>
      </w:r>
      <w:r>
        <w:t>bureaux d’études qui cassent les prix</w:t>
      </w:r>
      <w:r w:rsidR="00AB76DF">
        <w:t>,</w:t>
      </w:r>
      <w:r>
        <w:t xml:space="preserve"> sans pouvoir fournir une prestation à hauteur des enjeux ou des besoins</w:t>
      </w:r>
      <w:r w:rsidR="00AB76DF">
        <w:t>,</w:t>
      </w:r>
      <w:r>
        <w:t xml:space="preserve"> a souvent été évoquée. Elle avait déjà été soulevée</w:t>
      </w:r>
      <w:r w:rsidR="00993415">
        <w:t xml:space="preserve"> au moment de la concertation par questionnaire.</w:t>
      </w:r>
    </w:p>
    <w:p w14:paraId="41B89FA7" w14:textId="2FB359EC" w:rsidR="00993415" w:rsidRDefault="00993415">
      <w:r>
        <w:t>Un mair</w:t>
      </w:r>
      <w:r w:rsidR="00AB76DF">
        <w:t>e a</w:t>
      </w:r>
      <w:r w:rsidR="0075775A">
        <w:t xml:space="preserve"> témoigné</w:t>
      </w:r>
      <w:r>
        <w:t xml:space="preserve"> d</w:t>
      </w:r>
      <w:r w:rsidR="00423351">
        <w:t>e la situation de sa commune, où</w:t>
      </w:r>
      <w:r>
        <w:t xml:space="preserve"> un bureau d’études avait été choisi pour faire le PLU sur des prix très bas</w:t>
      </w:r>
      <w:r w:rsidR="00423351">
        <w:t xml:space="preserve"> et dans un secteur où il </w:t>
      </w:r>
      <w:r>
        <w:t>était pratiquement le seul sur le marché.</w:t>
      </w:r>
      <w:r w:rsidR="00F148F0">
        <w:t xml:space="preserve"> Malheureusement, le bureau d’études a fait faill</w:t>
      </w:r>
      <w:r w:rsidR="00423351">
        <w:t>ite au beau milieu du travail sur le</w:t>
      </w:r>
      <w:r w:rsidR="00F148F0">
        <w:t xml:space="preserve"> document d’urbanisme, mettant </w:t>
      </w:r>
      <w:r w:rsidR="00E822BD">
        <w:t xml:space="preserve">alors </w:t>
      </w:r>
      <w:r w:rsidR="00F148F0">
        <w:t>la collectivité dans une situation très délicate. D’autres collectivités ont été impactées par le même accident.</w:t>
      </w:r>
    </w:p>
    <w:p w14:paraId="270FD6E3" w14:textId="4F43E01D" w:rsidR="00F148F0" w:rsidRDefault="00F148F0">
      <w:r>
        <w:t>Un autre élu a souligné que la question du prix était récurrente dans les appels d’offres</w:t>
      </w:r>
      <w:r w:rsidR="00E822BD">
        <w:t xml:space="preserve"> et qu’elle polluait </w:t>
      </w:r>
      <w:r w:rsidR="00D56359">
        <w:t>souvent le bon choix des collectivités.</w:t>
      </w:r>
    </w:p>
    <w:p w14:paraId="09132E0A" w14:textId="5B566A7A" w:rsidR="00D56359" w:rsidRDefault="00D56359">
      <w:r>
        <w:t>Certains ont alors argumenté que le cahier des charges d</w:t>
      </w:r>
      <w:r w:rsidR="00E822BD">
        <w:t>e l</w:t>
      </w:r>
      <w:r>
        <w:t>’appel d’offres devait traduire au mieux le projet de la collectivité et qu’il fallait ainsi porter une grande attention à la rédaction de celui-ci p</w:t>
      </w:r>
      <w:r w:rsidR="00E822BD">
        <w:t>our sélectionner les prestataires</w:t>
      </w:r>
      <w:r>
        <w:t>.</w:t>
      </w:r>
    </w:p>
    <w:p w14:paraId="32A90D24" w14:textId="5D047A8C" w:rsidR="00D56359" w:rsidRDefault="00D56359">
      <w:r>
        <w:t>Cependant, d’autres ont fait valoir</w:t>
      </w:r>
      <w:r w:rsidR="0065700A">
        <w:t xml:space="preserve"> qu’un bon cahier des charges ne protégeait pas contre le dumping, et que les collectivités, surtout les petites, n’était pas armé</w:t>
      </w:r>
      <w:r w:rsidR="003F2E91">
        <w:t>es face à</w:t>
      </w:r>
      <w:r w:rsidR="0065700A">
        <w:t xml:space="preserve"> ces dysfonctionnements</w:t>
      </w:r>
      <w:r w:rsidR="003F2E91">
        <w:t>,</w:t>
      </w:r>
      <w:r w:rsidR="0065700A">
        <w:t xml:space="preserve"> car la réponse du bureau d’études pouva</w:t>
      </w:r>
      <w:r w:rsidR="003F2E91">
        <w:t>it très bien masquer le manque de</w:t>
      </w:r>
      <w:r w:rsidR="0065700A">
        <w:t xml:space="preserve"> compétences ou </w:t>
      </w:r>
      <w:r w:rsidR="002B6D93">
        <w:t xml:space="preserve">la faiblesse </w:t>
      </w:r>
      <w:r w:rsidR="0065700A">
        <w:t>de la fiabilité de l’opérateur.</w:t>
      </w:r>
    </w:p>
    <w:p w14:paraId="1EC27FE2" w14:textId="3058F32C" w:rsidR="0014286D" w:rsidRDefault="00B06844">
      <w:r>
        <w:t>La qualification des structures est ainsi apparue comme une voie in</w:t>
      </w:r>
      <w:r w:rsidR="002B6D93">
        <w:t>téressante pour se protéger de c</w:t>
      </w:r>
      <w:r w:rsidR="00E2598C">
        <w:t>es méfaits,</w:t>
      </w:r>
      <w:r>
        <w:t xml:space="preserve"> car dans le processus d’évaluation de la structure figureront des critères sur la viabilité de l’entreprise, les compétences </w:t>
      </w:r>
      <w:r w:rsidR="002B6D93">
        <w:t>mobilisables</w:t>
      </w:r>
      <w:r>
        <w:t xml:space="preserve"> et les aptitudes mises en œuvre dans les précédents prestations,</w:t>
      </w:r>
      <w:r w:rsidR="00CE0DD0">
        <w:t xml:space="preserve"> ainsi que l’appréciation des précédents commanditaires. Toutes ces données permettront d’éclairer la maîtrise d’ouvrage en recherche de prestataires.</w:t>
      </w:r>
    </w:p>
    <w:p w14:paraId="631F3515" w14:textId="7FBEE606" w:rsidR="00CE0DD0" w:rsidRDefault="00CE0DD0">
      <w:r>
        <w:t>Cependant, il a été</w:t>
      </w:r>
      <w:r w:rsidR="00E2598C">
        <w:t xml:space="preserve"> souligné que la question des </w:t>
      </w:r>
      <w:r w:rsidR="00E2598C" w:rsidRPr="00E2598C">
        <w:rPr>
          <w:i/>
        </w:rPr>
        <w:t>« charlatans »</w:t>
      </w:r>
      <w:r>
        <w:t xml:space="preserve">, qui avait été </w:t>
      </w:r>
      <w:r w:rsidR="005A4C93">
        <w:t xml:space="preserve">abordée </w:t>
      </w:r>
      <w:r>
        <w:t>dans la consultation préalable par questionnaire,</w:t>
      </w:r>
      <w:r w:rsidR="00226E1F">
        <w:t xml:space="preserve"> était une question difficile à traiter, car il faut se garder de toute appréciation dépréciative.  Dans le certificat de qualification, ce sont des informations factuelles qui doivent renseigner la maîtrise d’ouvrage.</w:t>
      </w:r>
    </w:p>
    <w:p w14:paraId="18DFD4C0" w14:textId="454A92D2" w:rsidR="000F43EA" w:rsidRDefault="002063A7" w:rsidP="00F01874">
      <w:pPr>
        <w:pStyle w:val="Titre1"/>
      </w:pPr>
      <w:r>
        <w:t>6 – Les critères de qualification des structures</w:t>
      </w:r>
    </w:p>
    <w:p w14:paraId="71C4F798" w14:textId="6AB5A38D" w:rsidR="002369B1" w:rsidRDefault="002369B1" w:rsidP="004F0023">
      <w:pPr>
        <w:pStyle w:val="Sous-titre"/>
      </w:pPr>
      <w:r>
        <w:t>Définir le type de prestation pour laquelle on délivr</w:t>
      </w:r>
      <w:r w:rsidR="004F0023">
        <w:t>e la qua</w:t>
      </w:r>
      <w:r>
        <w:t>lification</w:t>
      </w:r>
    </w:p>
    <w:p w14:paraId="18BDD2BE" w14:textId="02BD3533" w:rsidR="002063A7" w:rsidRDefault="00930288" w:rsidP="002063A7">
      <w:r>
        <w:t>P</w:t>
      </w:r>
      <w:r w:rsidR="002063A7">
        <w:t>our qualifier des structures, l’OPQU</w:t>
      </w:r>
      <w:r w:rsidR="00551A10">
        <w:t xml:space="preserve"> doit s’attacher à définir les prestations  </w:t>
      </w:r>
      <w:r>
        <w:t>pour les</w:t>
      </w:r>
      <w:r w:rsidR="00551A10">
        <w:t>quelle</w:t>
      </w:r>
      <w:r>
        <w:t>s</w:t>
      </w:r>
      <w:r w:rsidR="00551A10">
        <w:t xml:space="preserve"> </w:t>
      </w:r>
      <w:r>
        <w:t>sera délivré</w:t>
      </w:r>
      <w:r w:rsidR="009A2F5C">
        <w:t>e</w:t>
      </w:r>
      <w:r w:rsidR="00551A10">
        <w:t xml:space="preserve"> la qualification</w:t>
      </w:r>
      <w:r w:rsidR="00551A10">
        <w:rPr>
          <w:rStyle w:val="Marquenotebasdepage"/>
        </w:rPr>
        <w:footnoteReference w:id="4"/>
      </w:r>
      <w:r w:rsidR="00551A10">
        <w:t>.</w:t>
      </w:r>
      <w:r w:rsidR="009A2F5C">
        <w:t xml:space="preserve"> La </w:t>
      </w:r>
      <w:r w:rsidR="009A2F5C" w:rsidRPr="004C2BCF">
        <w:rPr>
          <w:i/>
        </w:rPr>
        <w:t>« prestation »</w:t>
      </w:r>
      <w:r w:rsidR="007D2925">
        <w:t xml:space="preserve"> e</w:t>
      </w:r>
      <w:r w:rsidR="009A2F5C">
        <w:t>s</w:t>
      </w:r>
      <w:r w:rsidR="007D2925">
        <w:t>t la référence de base pour les organismes qualificateurs de structures.</w:t>
      </w:r>
    </w:p>
    <w:p w14:paraId="185CABFA" w14:textId="47981DEB" w:rsidR="007D2925" w:rsidRDefault="007D2925" w:rsidP="002063A7">
      <w:r>
        <w:t>Le représentant de l’OPQIBI a rappelé qu’une prestation ne devait être ni trop généraliste,</w:t>
      </w:r>
      <w:r w:rsidR="009A2F5C">
        <w:t xml:space="preserve"> ni trop spécialisée, afin de bien cibler</w:t>
      </w:r>
      <w:r w:rsidR="009C1A1F">
        <w:t xml:space="preserve"> une catégorie d’études </w:t>
      </w:r>
      <w:r w:rsidR="009A2F5C">
        <w:t>susceptible</w:t>
      </w:r>
      <w:r w:rsidR="004A6AD5">
        <w:t>s</w:t>
      </w:r>
      <w:r w:rsidR="009A2F5C">
        <w:t xml:space="preserve"> d’être commandée</w:t>
      </w:r>
      <w:r w:rsidR="004A6AD5">
        <w:t xml:space="preserve">s, </w:t>
      </w:r>
      <w:r w:rsidR="009C1A1F">
        <w:t xml:space="preserve">sans </w:t>
      </w:r>
      <w:r w:rsidR="004A6AD5">
        <w:t xml:space="preserve">pour autant </w:t>
      </w:r>
      <w:r w:rsidR="009C1A1F">
        <w:t>s’enfermer dans des bornes trop restrictives.</w:t>
      </w:r>
    </w:p>
    <w:p w14:paraId="33F78935" w14:textId="22EB00C5" w:rsidR="009C1A1F" w:rsidRDefault="004A6AD5" w:rsidP="002063A7">
      <w:r>
        <w:t xml:space="preserve">Dans les débats, il a par ailleurs été </w:t>
      </w:r>
      <w:r w:rsidR="009C1A1F">
        <w:t>fait remarquer que les grosses structures ont beauco</w:t>
      </w:r>
      <w:r w:rsidR="00A84524">
        <w:t>up d’agents spécialisés – </w:t>
      </w:r>
      <w:r w:rsidR="009C1A1F" w:rsidRPr="00A84524">
        <w:rPr>
          <w:i/>
        </w:rPr>
        <w:t>c’est la nature</w:t>
      </w:r>
      <w:r w:rsidR="00A84524">
        <w:rPr>
          <w:i/>
        </w:rPr>
        <w:t xml:space="preserve"> de l’organisation</w:t>
      </w:r>
      <w:r w:rsidR="00A84524" w:rsidRPr="00A84524">
        <w:rPr>
          <w:i/>
        </w:rPr>
        <w:t xml:space="preserve"> qui veut ça où</w:t>
      </w:r>
      <w:r w:rsidR="00C13A6A" w:rsidRPr="00A84524">
        <w:rPr>
          <w:i/>
        </w:rPr>
        <w:t xml:space="preserve"> les compétences</w:t>
      </w:r>
      <w:r w:rsidR="00850F0C">
        <w:rPr>
          <w:i/>
        </w:rPr>
        <w:t xml:space="preserve"> </w:t>
      </w:r>
      <w:r w:rsidR="00A84524">
        <w:rPr>
          <w:i/>
        </w:rPr>
        <w:t>diverses</w:t>
      </w:r>
      <w:r w:rsidR="00C13A6A" w:rsidRPr="00A84524">
        <w:rPr>
          <w:i/>
        </w:rPr>
        <w:t xml:space="preserve"> se</w:t>
      </w:r>
      <w:r w:rsidR="00850F0C">
        <w:rPr>
          <w:i/>
        </w:rPr>
        <w:t xml:space="preserve"> complètent dans une</w:t>
      </w:r>
      <w:r w:rsidR="00A84524" w:rsidRPr="00A84524">
        <w:rPr>
          <w:i/>
        </w:rPr>
        <w:t xml:space="preserve"> même entité</w:t>
      </w:r>
      <w:r w:rsidR="00A84524">
        <w:t> </w:t>
      </w:r>
      <w:r w:rsidR="00C13A6A">
        <w:t>– alors que les petites structures veulent que leur polyvalence soit reconnue. Un intervena</w:t>
      </w:r>
      <w:r w:rsidR="00850F0C">
        <w:t>nt témoigne cependant que, vu</w:t>
      </w:r>
      <w:r w:rsidR="004C2BCF">
        <w:t xml:space="preserve"> de la maîtrise d’ouvrage, le </w:t>
      </w:r>
      <w:r w:rsidR="004C2BCF" w:rsidRPr="004C2BCF">
        <w:rPr>
          <w:i/>
        </w:rPr>
        <w:t>« généraliste »</w:t>
      </w:r>
      <w:r w:rsidR="00C13A6A">
        <w:t xml:space="preserve"> n’est souvent pas prisé car cela peut recouvrir une fonction un peu vague,</w:t>
      </w:r>
      <w:r w:rsidR="004D47B4">
        <w:t xml:space="preserve"> sans compétences clairement assises.</w:t>
      </w:r>
    </w:p>
    <w:p w14:paraId="0FB1CB4D" w14:textId="3865CADC" w:rsidR="004D47B4" w:rsidRDefault="004D47B4" w:rsidP="002063A7">
      <w:r>
        <w:t>Les petites structures n’ont pas toujours les moyens de s’organiser en compétences pluridisciplinaires. Elle</w:t>
      </w:r>
      <w:r w:rsidR="00241AE0">
        <w:t>s</w:t>
      </w:r>
      <w:r>
        <w:t xml:space="preserve"> compense</w:t>
      </w:r>
      <w:r w:rsidR="00241AE0">
        <w:t>nt alors cela par un</w:t>
      </w:r>
      <w:r>
        <w:t xml:space="preserve"> travail</w:t>
      </w:r>
      <w:r w:rsidR="00241AE0">
        <w:t xml:space="preserve"> en coopération,</w:t>
      </w:r>
      <w:r>
        <w:t xml:space="preserve"> via des alliances avec d’autres bureaux d’études, en fonction des opportunités.  Elles organisent ces coopérations via un réseau professionnel</w:t>
      </w:r>
      <w:r w:rsidR="006009F6">
        <w:t xml:space="preserve"> dans lequel elles se sont inscrites ou qu’elles ont constitué.</w:t>
      </w:r>
    </w:p>
    <w:p w14:paraId="216868A2" w14:textId="38C023C9" w:rsidR="006009F6" w:rsidRDefault="00D66EE4" w:rsidP="00D66EE4">
      <w:pPr>
        <w:pStyle w:val="Sous-titre"/>
      </w:pPr>
      <w:r>
        <w:t>Six types de prestations en urbanisme</w:t>
      </w:r>
    </w:p>
    <w:p w14:paraId="5FE3D9F7" w14:textId="40393B3C" w:rsidR="006009F6" w:rsidRPr="002063A7" w:rsidRDefault="006009F6" w:rsidP="002063A7">
      <w:r>
        <w:t>L’OPQU a commencé le travail de définition des prestations.</w:t>
      </w:r>
      <w:r w:rsidR="0093389B">
        <w:t xml:space="preserve"> Il a été indiqué </w:t>
      </w:r>
      <w:r w:rsidR="004F0023">
        <w:t xml:space="preserve">au </w:t>
      </w:r>
      <w:r w:rsidR="0093389B">
        <w:t xml:space="preserve">cours des débats qu’il fallait identifier des </w:t>
      </w:r>
      <w:r w:rsidR="0093389B" w:rsidRPr="008829E1">
        <w:rPr>
          <w:i/>
        </w:rPr>
        <w:t>« filières »</w:t>
      </w:r>
      <w:r w:rsidR="0093389B">
        <w:t xml:space="preserve"> et qu’un bureau d’études ne pouvait pas incarner l’ensemble des démarches qui relèvent de l’urbanisme. Il faut savoir reconnaître la diversification des compétences qui ont aussi pour caractéristique d’avoir recours à des techniques de nature</w:t>
      </w:r>
      <w:r w:rsidR="00E96CA9">
        <w:t>s</w:t>
      </w:r>
      <w:r w:rsidR="0093389B">
        <w:t xml:space="preserve"> différente</w:t>
      </w:r>
      <w:r w:rsidR="00E96CA9">
        <w:t>s</w:t>
      </w:r>
      <w:r w:rsidR="00EC42C1">
        <w:t>. D’où effectivement la nécessité de définir plusieurs catégories de prestations en urbanisme. L’OPQU a engagé un travail en ce sens</w:t>
      </w:r>
      <w:r w:rsidR="00E96CA9">
        <w:t>, le nombre de prestations étant</w:t>
      </w:r>
      <w:r w:rsidR="00B226BC">
        <w:t xml:space="preserve"> évalué aujourd’hui à six</w:t>
      </w:r>
      <w:r w:rsidR="00B226BC">
        <w:rPr>
          <w:rStyle w:val="Marquenotebasdepage"/>
        </w:rPr>
        <w:footnoteReference w:id="5"/>
      </w:r>
      <w:r w:rsidR="00B226BC">
        <w:t>.</w:t>
      </w:r>
    </w:p>
    <w:p w14:paraId="3E48419D" w14:textId="2DEBC056" w:rsidR="00F01874" w:rsidRDefault="00FD03BA">
      <w:r>
        <w:t>Pour définir ces prestations, l’O</w:t>
      </w:r>
      <w:r w:rsidR="00E96CA9">
        <w:t>ffice dis</w:t>
      </w:r>
      <w:r w:rsidR="00854567">
        <w:t xml:space="preserve">pose </w:t>
      </w:r>
      <w:r w:rsidR="00675D03">
        <w:t>d’une base solide à travers le Référentiel-</w:t>
      </w:r>
      <w:r w:rsidR="00854567">
        <w:t>métier, qui définit les différents types d</w:t>
      </w:r>
      <w:r>
        <w:t>e tâ</w:t>
      </w:r>
      <w:r w:rsidR="00854567">
        <w:t>ches</w:t>
      </w:r>
      <w:r>
        <w:t xml:space="preserve"> qu’effectuent</w:t>
      </w:r>
      <w:r w:rsidR="00E96CA9">
        <w:t xml:space="preserve"> les urbanistes dans leur</w:t>
      </w:r>
      <w:r w:rsidR="00E6608F">
        <w:t>s</w:t>
      </w:r>
      <w:r w:rsidR="00E96CA9">
        <w:t xml:space="preserve"> missions</w:t>
      </w:r>
      <w:r>
        <w:t>.</w:t>
      </w:r>
      <w:r w:rsidR="00675D03">
        <w:t xml:space="preserve"> Ces éléments du Référentiel-métier</w:t>
      </w:r>
      <w:r w:rsidR="008829E1">
        <w:rPr>
          <w:rStyle w:val="Marquenotebasdepage"/>
        </w:rPr>
        <w:footnoteReference w:id="6"/>
      </w:r>
      <w:r w:rsidR="00675D03">
        <w:t>, enrichi</w:t>
      </w:r>
      <w:r w:rsidR="00D66EE4">
        <w:t>s</w:t>
      </w:r>
      <w:r w:rsidR="00675D03">
        <w:t xml:space="preserve"> par la pratique de la commission d’instruct</w:t>
      </w:r>
      <w:r w:rsidR="00D66EE4">
        <w:t>ion, ont été transcrit</w:t>
      </w:r>
      <w:r w:rsidR="00E6608F">
        <w:t>s</w:t>
      </w:r>
      <w:r w:rsidR="00D66EE4">
        <w:t xml:space="preserve"> dans le R</w:t>
      </w:r>
      <w:r w:rsidR="00675D03">
        <w:t>èglement intérieur de l’OPQU.</w:t>
      </w:r>
    </w:p>
    <w:p w14:paraId="3283A8A1" w14:textId="2B1ADCC2" w:rsidR="002063A7" w:rsidRDefault="00ED4DEE" w:rsidP="005F3C2B">
      <w:pPr>
        <w:pStyle w:val="Titre1"/>
      </w:pPr>
      <w:r>
        <w:t>7 – L</w:t>
      </w:r>
      <w:r w:rsidR="005F3C2B">
        <w:t>a relatio</w:t>
      </w:r>
      <w:r>
        <w:t>n qualification des personnes /</w:t>
      </w:r>
      <w:r w:rsidR="005F3C2B">
        <w:t xml:space="preserve"> qualification des structures</w:t>
      </w:r>
    </w:p>
    <w:p w14:paraId="3CF7EA9A" w14:textId="0DEFF45C" w:rsidR="000231AB" w:rsidRDefault="000231AB" w:rsidP="000231AB">
      <w:pPr>
        <w:pStyle w:val="Sous-titre"/>
      </w:pPr>
      <w:r>
        <w:t>Qualification des personnes versus qualification des structures</w:t>
      </w:r>
    </w:p>
    <w:p w14:paraId="0702336F" w14:textId="4F113C96" w:rsidR="005F3C2B" w:rsidRDefault="00BD01B9">
      <w:r>
        <w:t>D</w:t>
      </w:r>
      <w:r w:rsidR="005F3C2B">
        <w:t>ans le cours des débats, il a été indiqué que la qualification des personnes</w:t>
      </w:r>
      <w:r>
        <w:t xml:space="preserve"> et celle des structures n’étaient pas tout à fait de même nature et ne relevaient pas des mêmes logiques.</w:t>
      </w:r>
    </w:p>
    <w:p w14:paraId="387EE550" w14:textId="265F53EE" w:rsidR="004D4816" w:rsidRDefault="004D4816">
      <w:r>
        <w:t>La qualification des structures est directement orient</w:t>
      </w:r>
      <w:r w:rsidR="0029618D">
        <w:t>ée vers le commanditaire lorsqu’il</w:t>
      </w:r>
      <w:r w:rsidR="00FE21F5">
        <w:t xml:space="preserve"> recherche</w:t>
      </w:r>
      <w:r w:rsidR="0029618D">
        <w:t xml:space="preserve"> </w:t>
      </w:r>
      <w:r w:rsidR="00FE21F5">
        <w:t>un bureau d’étude</w:t>
      </w:r>
      <w:r>
        <w:t xml:space="preserve"> et </w:t>
      </w:r>
      <w:r w:rsidR="00514BB8">
        <w:t xml:space="preserve">qu’il entreprend </w:t>
      </w:r>
      <w:r>
        <w:t>de sélection</w:t>
      </w:r>
      <w:r w:rsidR="00514BB8">
        <w:t>ner</w:t>
      </w:r>
      <w:r>
        <w:t xml:space="preserve"> de</w:t>
      </w:r>
      <w:r w:rsidR="00514BB8">
        <w:t>s</w:t>
      </w:r>
      <w:r>
        <w:t xml:space="preserve"> prestataires pour accomplir des études aux caractéristiques définies.</w:t>
      </w:r>
    </w:p>
    <w:p w14:paraId="3FA438EB" w14:textId="286BC5E9" w:rsidR="002604F1" w:rsidRDefault="002604F1">
      <w:r>
        <w:t>Si la qualification des personnes</w:t>
      </w:r>
      <w:r w:rsidR="001F780F">
        <w:t xml:space="preserve"> peut revêtir une part de reconnaissance professionnelle, il n’en est pas de même pour la qualification des structures dont la finalité est la sécurisation des maîtres d’ouvrage et des commanditaires.</w:t>
      </w:r>
    </w:p>
    <w:p w14:paraId="2FD20DE5" w14:textId="6CD36800" w:rsidR="001F780F" w:rsidRDefault="001F780F">
      <w:r>
        <w:t>Comme cela a déjà été indiqué, en urbanisme</w:t>
      </w:r>
      <w:r w:rsidR="00740460">
        <w:t xml:space="preserve"> </w:t>
      </w:r>
      <w:r w:rsidR="00231905">
        <w:t>le besoin de qualific</w:t>
      </w:r>
      <w:r w:rsidR="008B19EF">
        <w:t>ation est largement conditionné</w:t>
      </w:r>
      <w:r w:rsidR="00740460">
        <w:t xml:space="preserve"> </w:t>
      </w:r>
      <w:r w:rsidR="00245AD5">
        <w:t xml:space="preserve">par </w:t>
      </w:r>
      <w:r w:rsidR="00C310D2">
        <w:t>une certaine absence</w:t>
      </w:r>
      <w:r w:rsidR="00740460">
        <w:t xml:space="preserve"> de compétences des collectivités locales</w:t>
      </w:r>
      <w:r w:rsidR="00070836">
        <w:t>,</w:t>
      </w:r>
      <w:r w:rsidR="004B1E37" w:rsidRPr="004B1E37">
        <w:t xml:space="preserve"> </w:t>
      </w:r>
      <w:r w:rsidR="004B1E37">
        <w:t>tout au moin</w:t>
      </w:r>
      <w:r w:rsidR="00070836">
        <w:t>s pour une partie d’entre elles</w:t>
      </w:r>
      <w:r w:rsidR="004B1E37">
        <w:t xml:space="preserve"> moins armées que les grandes</w:t>
      </w:r>
      <w:r w:rsidR="00CF26F2">
        <w:t>. Il s’agit de</w:t>
      </w:r>
      <w:r w:rsidR="00C310D2">
        <w:t xml:space="preserve"> compétences techniques</w:t>
      </w:r>
      <w:r w:rsidR="00CF26F2">
        <w:t xml:space="preserve">, mais surtout de </w:t>
      </w:r>
      <w:r w:rsidR="00C310D2">
        <w:t xml:space="preserve">compétences </w:t>
      </w:r>
      <w:r w:rsidR="004B1E37">
        <w:t>d</w:t>
      </w:r>
      <w:r w:rsidR="00CF26F2">
        <w:t>’orientation ou d</w:t>
      </w:r>
      <w:r w:rsidR="004B1E37">
        <w:t>e stratégie</w:t>
      </w:r>
      <w:r w:rsidR="00CF26F2">
        <w:t>, autrefois assurées par les services de l’</w:t>
      </w:r>
      <w:r w:rsidR="00070836">
        <w:t>État avant la décentralisation</w:t>
      </w:r>
      <w:r w:rsidR="00740460">
        <w:t>.</w:t>
      </w:r>
    </w:p>
    <w:p w14:paraId="682087B6" w14:textId="0E77EADE" w:rsidR="000C0D1E" w:rsidRDefault="000C0D1E">
      <w:r>
        <w:t>Le représentant de l’OPQIBI</w:t>
      </w:r>
      <w:r w:rsidR="00786FC7">
        <w:t xml:space="preserve"> a rappelé que la</w:t>
      </w:r>
      <w:r w:rsidR="008B1FC9">
        <w:t xml:space="preserve"> qualification des structures </w:t>
      </w:r>
      <w:r w:rsidR="008B1FC9" w:rsidRPr="00301882">
        <w:rPr>
          <w:i/>
        </w:rPr>
        <w:t>« est destinés à la maîtrise d’ouvrage, (…) e</w:t>
      </w:r>
      <w:r w:rsidR="00786FC7" w:rsidRPr="00301882">
        <w:rPr>
          <w:i/>
        </w:rPr>
        <w:t>lle sert à identifier des prestataires compétents</w:t>
      </w:r>
      <w:r w:rsidR="00076D94">
        <w:rPr>
          <w:i/>
        </w:rPr>
        <w:t> »</w:t>
      </w:r>
      <w:r w:rsidR="008B1FC9">
        <w:t xml:space="preserve">. </w:t>
      </w:r>
      <w:r w:rsidR="00301882">
        <w:t>Elle</w:t>
      </w:r>
      <w:r w:rsidR="008B1FC9">
        <w:t xml:space="preserve"> n’a pas pour fonction de valoriser tel ou tel professionnel.</w:t>
      </w:r>
      <w:r w:rsidR="00301882">
        <w:t xml:space="preserve"> </w:t>
      </w:r>
      <w:r w:rsidR="00301882">
        <w:rPr>
          <w:i/>
        </w:rPr>
        <w:t>« </w:t>
      </w:r>
      <w:r w:rsidR="00301882" w:rsidRPr="00301882">
        <w:rPr>
          <w:i/>
        </w:rPr>
        <w:t>La maîtrise d’ouvrage doit être au cœur du dispositif, tant dans les objectifs de qualification que comme cible</w:t>
      </w:r>
      <w:r w:rsidR="00301882">
        <w:rPr>
          <w:i/>
        </w:rPr>
        <w:t> »</w:t>
      </w:r>
      <w:r w:rsidR="00301882">
        <w:t xml:space="preserve"> ira jusqu’à dire un intervenant.</w:t>
      </w:r>
    </w:p>
    <w:p w14:paraId="19B712CC" w14:textId="078AB2A9" w:rsidR="00542ED7" w:rsidRDefault="00542ED7" w:rsidP="007D05FD">
      <w:pPr>
        <w:pStyle w:val="Sous-titre"/>
      </w:pPr>
      <w:r>
        <w:t>Quel lien entre personnes qualifiées et structures qualifiées ?</w:t>
      </w:r>
    </w:p>
    <w:p w14:paraId="6EF4A075" w14:textId="20EA9A42" w:rsidR="00542ED7" w:rsidRDefault="00542ED7">
      <w:r>
        <w:t>La question s’est posée pour savoir si l’une et l’autre procédure devai</w:t>
      </w:r>
      <w:r w:rsidR="001A3A05">
        <w:t>en</w:t>
      </w:r>
      <w:r>
        <w:t>t être indépendante</w:t>
      </w:r>
      <w:r w:rsidR="007D05FD">
        <w:t>s</w:t>
      </w:r>
      <w:r>
        <w:t xml:space="preserve"> ou interactives.</w:t>
      </w:r>
      <w:r w:rsidR="0048143C">
        <w:t xml:space="preserve">  Cette question a fait débat.</w:t>
      </w:r>
    </w:p>
    <w:p w14:paraId="035E70FC" w14:textId="650CDC77" w:rsidR="0048143C" w:rsidRDefault="0048143C">
      <w:r>
        <w:t>Certains organismes q</w:t>
      </w:r>
      <w:r w:rsidR="00456367">
        <w:t>ualificateurs (OPQIBI, OPQCM…) n</w:t>
      </w:r>
      <w:r>
        <w:t>e reconnaissent pas la qualification des personnes</w:t>
      </w:r>
      <w:r w:rsidR="007A3F9E">
        <w:t xml:space="preserve"> alors que d’autres comme l’OPQTECC la pratiquent</w:t>
      </w:r>
      <w:r w:rsidR="00456367">
        <w:t xml:space="preserve"> e</w:t>
      </w:r>
      <w:r w:rsidR="0043635F">
        <w:t>n par</w:t>
      </w:r>
      <w:r w:rsidR="00456367">
        <w:t>allèle</w:t>
      </w:r>
      <w:r w:rsidR="007A3F9E">
        <w:t>.</w:t>
      </w:r>
    </w:p>
    <w:p w14:paraId="16FB91A2" w14:textId="79DF3C2B" w:rsidR="007A3F9E" w:rsidRDefault="007A3F9E">
      <w:r>
        <w:t xml:space="preserve">Des intervenants </w:t>
      </w:r>
      <w:r w:rsidR="00BC3A04">
        <w:t>ont posé</w:t>
      </w:r>
      <w:r>
        <w:t xml:space="preserve"> la question de savoir s’il faut que des urbanistes qualifiés soient obligatoirement présents dans la qualification d’une structure. Par parenthèse, dans les réponses</w:t>
      </w:r>
      <w:r w:rsidR="00310EA2">
        <w:t xml:space="preserve"> à la consultation par questionnaire réalisée précédemment, beaucoup de contributions penchent pour dire qu’il faut relier qualification des personnes et qualification des structures.</w:t>
      </w:r>
    </w:p>
    <w:p w14:paraId="08E8E09E" w14:textId="77F09082" w:rsidR="00310EA2" w:rsidRDefault="00310EA2">
      <w:r>
        <w:t xml:space="preserve">Dans le </w:t>
      </w:r>
      <w:r w:rsidR="002B3E9B">
        <w:t xml:space="preserve">présent </w:t>
      </w:r>
      <w:r>
        <w:t>débat, certains intervenants ont fait valoir que pour assumer certaines missions comme par exemple</w:t>
      </w:r>
      <w:r w:rsidR="00B44023">
        <w:t xml:space="preserve"> les études de PLU ou les études de Scot, la présence d’un minimum d’urbanistes qualifiés était nécessaire</w:t>
      </w:r>
      <w:r w:rsidR="002B3E9B">
        <w:t xml:space="preserve"> dans la structure</w:t>
      </w:r>
      <w:r w:rsidR="00B44023">
        <w:t>.</w:t>
      </w:r>
      <w:r w:rsidR="00635FC6">
        <w:t xml:space="preserve"> Il en est de même pour</w:t>
      </w:r>
      <w:r w:rsidR="00D53DF7">
        <w:t xml:space="preserve"> certaines études d’environnement</w:t>
      </w:r>
      <w:r w:rsidR="00141877">
        <w:t>, etc</w:t>
      </w:r>
      <w:r w:rsidR="00D53DF7">
        <w:t>.</w:t>
      </w:r>
    </w:p>
    <w:p w14:paraId="649A6874" w14:textId="74E1DC85" w:rsidR="00DB4381" w:rsidRDefault="00DB4381">
      <w:r>
        <w:t>Les débats inclinent donc à relier qualification des personnes et qualification des struct</w:t>
      </w:r>
      <w:r w:rsidR="007D0A17">
        <w:t>ures</w:t>
      </w:r>
      <w:r w:rsidR="00635FC6">
        <w:t xml:space="preserve"> et </w:t>
      </w:r>
      <w:r w:rsidR="00141877">
        <w:t xml:space="preserve">à </w:t>
      </w:r>
      <w:r w:rsidR="00635FC6">
        <w:t>conditionner la qualification des str</w:t>
      </w:r>
      <w:r w:rsidR="007D0A17">
        <w:t>u</w:t>
      </w:r>
      <w:r w:rsidR="00635FC6">
        <w:t xml:space="preserve">ctures </w:t>
      </w:r>
      <w:r w:rsidR="007D0A17">
        <w:t>à la présence d’un pourcentage d</w:t>
      </w:r>
      <w:r w:rsidR="00665C8B">
        <w:t>’urbanistes qualifiés en leur se</w:t>
      </w:r>
      <w:r w:rsidR="007D0A17">
        <w:t>in</w:t>
      </w:r>
      <w:r>
        <w:t>.</w:t>
      </w:r>
    </w:p>
    <w:p w14:paraId="6998AE0B" w14:textId="09475A48" w:rsidR="00DB4381" w:rsidRPr="00665C8B" w:rsidRDefault="00DB4381" w:rsidP="00BE0B13">
      <w:pPr>
        <w:ind w:left="284"/>
        <w:rPr>
          <w:rFonts w:ascii="Comic Sans MS" w:hAnsi="Comic Sans MS" w:hint="eastAsia"/>
          <w:sz w:val="22"/>
          <w:szCs w:val="22"/>
        </w:rPr>
      </w:pPr>
      <w:r w:rsidRPr="00665C8B">
        <w:rPr>
          <w:rFonts w:ascii="Comic Sans MS" w:hAnsi="Comic Sans MS"/>
          <w:sz w:val="22"/>
          <w:szCs w:val="22"/>
        </w:rPr>
        <w:t xml:space="preserve">[Nota : c’était d’ailleurs déjà le sens de la décision du conseil </w:t>
      </w:r>
      <w:r w:rsidR="00141877">
        <w:rPr>
          <w:rFonts w:ascii="Comic Sans MS" w:hAnsi="Comic Sans MS"/>
          <w:sz w:val="22"/>
          <w:szCs w:val="22"/>
        </w:rPr>
        <w:t>d’a</w:t>
      </w:r>
      <w:r w:rsidR="00BE0B13">
        <w:rPr>
          <w:rFonts w:ascii="Comic Sans MS" w:hAnsi="Comic Sans MS"/>
          <w:sz w:val="22"/>
          <w:szCs w:val="22"/>
        </w:rPr>
        <w:t>dministration de l’OPQU voté le 17 janvier 2018</w:t>
      </w:r>
      <w:r w:rsidR="001116B8">
        <w:rPr>
          <w:rFonts w:ascii="Comic Sans MS" w:hAnsi="Comic Sans MS"/>
          <w:sz w:val="22"/>
          <w:szCs w:val="22"/>
        </w:rPr>
        <w:t>,</w:t>
      </w:r>
      <w:r w:rsidR="00141877">
        <w:rPr>
          <w:rFonts w:ascii="Comic Sans MS" w:hAnsi="Comic Sans MS"/>
          <w:sz w:val="22"/>
          <w:szCs w:val="22"/>
        </w:rPr>
        <w:t xml:space="preserve"> e</w:t>
      </w:r>
      <w:r w:rsidRPr="00665C8B">
        <w:rPr>
          <w:rFonts w:ascii="Comic Sans MS" w:hAnsi="Comic Sans MS"/>
          <w:sz w:val="22"/>
          <w:szCs w:val="22"/>
        </w:rPr>
        <w:t>n réponse à cette question</w:t>
      </w:r>
      <w:r w:rsidR="005A179C" w:rsidRPr="00665C8B">
        <w:rPr>
          <w:rFonts w:ascii="Comic Sans MS" w:hAnsi="Comic Sans MS"/>
          <w:sz w:val="22"/>
          <w:szCs w:val="22"/>
        </w:rPr>
        <w:t xml:space="preserve"> posée par le groupe de travail idoine.</w:t>
      </w:r>
      <w:r w:rsidR="001116B8">
        <w:rPr>
          <w:rFonts w:ascii="Comic Sans MS" w:hAnsi="Comic Sans MS"/>
          <w:sz w:val="22"/>
          <w:szCs w:val="22"/>
        </w:rPr>
        <w:t xml:space="preserve"> Le conseil</w:t>
      </w:r>
      <w:r w:rsidR="00440E41">
        <w:rPr>
          <w:rFonts w:ascii="Comic Sans MS" w:hAnsi="Comic Sans MS"/>
          <w:sz w:val="22"/>
          <w:szCs w:val="22"/>
        </w:rPr>
        <w:t xml:space="preserve"> </w:t>
      </w:r>
      <w:r w:rsidR="001116B8">
        <w:rPr>
          <w:rFonts w:ascii="Comic Sans MS" w:hAnsi="Comic Sans MS"/>
          <w:sz w:val="22"/>
          <w:szCs w:val="22"/>
        </w:rPr>
        <w:t>a décidé</w:t>
      </w:r>
      <w:r w:rsidR="00440E41">
        <w:rPr>
          <w:rFonts w:ascii="Comic Sans MS" w:hAnsi="Comic Sans MS"/>
          <w:sz w:val="22"/>
          <w:szCs w:val="22"/>
        </w:rPr>
        <w:t xml:space="preserve"> que la qualification des structures devra s’appuyer sur des urbanistes qualifiés</w:t>
      </w:r>
      <w:r w:rsidR="005A179C" w:rsidRPr="00665C8B">
        <w:rPr>
          <w:rFonts w:ascii="Comic Sans MS" w:hAnsi="Comic Sans MS"/>
          <w:sz w:val="22"/>
          <w:szCs w:val="22"/>
        </w:rPr>
        <w:t>]</w:t>
      </w:r>
    </w:p>
    <w:p w14:paraId="69657A5C" w14:textId="300A9FDD" w:rsidR="005A179C" w:rsidRDefault="005A179C" w:rsidP="005A179C">
      <w:pPr>
        <w:pStyle w:val="Titre1"/>
      </w:pPr>
      <w:r>
        <w:t>8 – Intérêts de la qualification pour les structures</w:t>
      </w:r>
    </w:p>
    <w:p w14:paraId="7FE901CD" w14:textId="01191274" w:rsidR="002063A7" w:rsidRDefault="00736980">
      <w:r>
        <w:t>S</w:t>
      </w:r>
      <w:r w:rsidR="005A179C">
        <w:t>i la qualification</w:t>
      </w:r>
      <w:r>
        <w:t xml:space="preserve"> des structures en urbanisme a une utilisation tourn</w:t>
      </w:r>
      <w:r w:rsidR="00141877">
        <w:t>ée vers la  maîtrise d’ouvrage lorsqu’elle</w:t>
      </w:r>
      <w:r>
        <w:t xml:space="preserve"> passe commande à des bureaux d’études, la question a aussi été posée</w:t>
      </w:r>
      <w:r w:rsidR="00266133">
        <w:t xml:space="preserve"> de savoir quel intérêt en retireront les structures professionnelles.</w:t>
      </w:r>
    </w:p>
    <w:p w14:paraId="37A71F25" w14:textId="39ABA476" w:rsidR="00266133" w:rsidRDefault="00E53831">
      <w:r>
        <w:t xml:space="preserve">Ils sont a priori de deux </w:t>
      </w:r>
      <w:r w:rsidR="00266133">
        <w:t>ordres.</w:t>
      </w:r>
    </w:p>
    <w:p w14:paraId="73B281C7" w14:textId="4B071B3D" w:rsidR="00266133" w:rsidRDefault="00266133">
      <w:r>
        <w:t>Le pre</w:t>
      </w:r>
      <w:r w:rsidR="0048734E">
        <w:t>mier est bien évidemment la visib</w:t>
      </w:r>
      <w:r>
        <w:t>ilité et la crédibilité</w:t>
      </w:r>
      <w:r w:rsidR="007E0563">
        <w:t> : garanties</w:t>
      </w:r>
      <w:r w:rsidR="00CF5184">
        <w:t xml:space="preserve"> d’être un</w:t>
      </w:r>
      <w:r w:rsidR="00E53831">
        <w:t xml:space="preserve">e structure fiable, </w:t>
      </w:r>
      <w:r w:rsidR="00E92886">
        <w:t>présence</w:t>
      </w:r>
      <w:r w:rsidR="00736BDB">
        <w:t xml:space="preserve"> d</w:t>
      </w:r>
      <w:r w:rsidR="00CF5184">
        <w:t xml:space="preserve">es compétences recherchées et </w:t>
      </w:r>
      <w:r w:rsidR="007E0563">
        <w:t xml:space="preserve">preuves </w:t>
      </w:r>
      <w:r w:rsidR="00CF5184">
        <w:t>d’avoir satisfait les précédents commanditaires.</w:t>
      </w:r>
    </w:p>
    <w:p w14:paraId="28F70318" w14:textId="76604D1B" w:rsidR="002063A7" w:rsidRDefault="00E92886">
      <w:pPr>
        <w:rPr>
          <w:i/>
        </w:rPr>
      </w:pPr>
      <w:r>
        <w:t xml:space="preserve">Mais cet intérêt peut </w:t>
      </w:r>
      <w:r w:rsidR="00CF5184">
        <w:t>être aussi financier, car le représentant de l’OPQIBI a</w:t>
      </w:r>
      <w:r w:rsidR="00784E4A">
        <w:t xml:space="preserve"> rappelé que la qualification –</w:t>
      </w:r>
      <w:r w:rsidR="00784E4A" w:rsidRPr="00784E4A">
        <w:rPr>
          <w:i/>
        </w:rPr>
        <w:t> </w:t>
      </w:r>
      <w:r w:rsidR="00CF5184" w:rsidRPr="00784E4A">
        <w:rPr>
          <w:i/>
        </w:rPr>
        <w:t>preuve de sérieux et de probité</w:t>
      </w:r>
      <w:r w:rsidR="00784E4A">
        <w:t xml:space="preserve"> – </w:t>
      </w:r>
      <w:r w:rsidR="006C7CA4" w:rsidRPr="006C7CA4">
        <w:rPr>
          <w:i/>
        </w:rPr>
        <w:t>« </w:t>
      </w:r>
      <w:r w:rsidR="00784E4A" w:rsidRPr="006C7CA4">
        <w:rPr>
          <w:i/>
        </w:rPr>
        <w:t xml:space="preserve">permettait </w:t>
      </w:r>
      <w:r w:rsidR="007F6AB8" w:rsidRPr="006C7CA4">
        <w:rPr>
          <w:i/>
        </w:rPr>
        <w:t>aux assurance</w:t>
      </w:r>
      <w:r w:rsidR="006C7CA4" w:rsidRPr="006C7CA4">
        <w:rPr>
          <w:i/>
        </w:rPr>
        <w:t>s</w:t>
      </w:r>
      <w:r w:rsidR="007F6AB8" w:rsidRPr="006C7CA4">
        <w:rPr>
          <w:i/>
        </w:rPr>
        <w:t xml:space="preserve"> d’offrir des </w:t>
      </w:r>
      <w:r w:rsidR="006C7CA4" w:rsidRPr="006C7CA4">
        <w:rPr>
          <w:i/>
        </w:rPr>
        <w:t>avantages tarifaires aux bureaux</w:t>
      </w:r>
      <w:r w:rsidR="007F6AB8" w:rsidRPr="006C7CA4">
        <w:rPr>
          <w:i/>
        </w:rPr>
        <w:t xml:space="preserve"> d’études qualifiés qui sont </w:t>
      </w:r>
      <w:r w:rsidR="008E544C" w:rsidRPr="006C7CA4">
        <w:rPr>
          <w:i/>
        </w:rPr>
        <w:t xml:space="preserve">largement </w:t>
      </w:r>
      <w:r w:rsidR="006C7CA4" w:rsidRPr="006C7CA4">
        <w:rPr>
          <w:i/>
        </w:rPr>
        <w:t>supérieurs à ce que coûte la qualification »</w:t>
      </w:r>
      <w:r w:rsidR="00784E4A" w:rsidRPr="006C7CA4">
        <w:rPr>
          <w:i/>
        </w:rPr>
        <w:t>.</w:t>
      </w:r>
    </w:p>
    <w:p w14:paraId="25681D11" w14:textId="468C2968" w:rsidR="001805B8" w:rsidRDefault="001805B8">
      <w:r w:rsidRPr="001805B8">
        <w:t xml:space="preserve">Par contre, </w:t>
      </w:r>
      <w:r>
        <w:t>un intervenant</w:t>
      </w:r>
      <w:r w:rsidR="003821A9">
        <w:t>,</w:t>
      </w:r>
      <w:r>
        <w:t xml:space="preserve"> issu d’une petite structure</w:t>
      </w:r>
      <w:r w:rsidR="003821A9">
        <w:t>,</w:t>
      </w:r>
      <w:r>
        <w:t xml:space="preserve"> a fait valoir que l</w:t>
      </w:r>
      <w:r w:rsidR="005F11D8">
        <w:t>a démarche de récolte des indicateurs en vue de la qualification pouvait être pl</w:t>
      </w:r>
      <w:r w:rsidR="00CC6870">
        <w:t>us pénalisant – </w:t>
      </w:r>
      <w:r w:rsidR="00CC6870" w:rsidRPr="00CC6870">
        <w:rPr>
          <w:i/>
        </w:rPr>
        <w:t xml:space="preserve">en terme de temps consacré </w:t>
      </w:r>
      <w:r w:rsidR="00CC6870">
        <w:t> – pour les petites structures que pour les grandes</w:t>
      </w:r>
      <w:r w:rsidR="003821A9">
        <w:t>. En effet, celle-là</w:t>
      </w:r>
      <w:r w:rsidR="00CC6870">
        <w:t xml:space="preserve"> auront davantage les moyens de spécialiser une personne sur ce</w:t>
      </w:r>
      <w:r w:rsidR="003821A9">
        <w:t>s</w:t>
      </w:r>
      <w:r w:rsidR="00CC6870">
        <w:t xml:space="preserve"> tâches </w:t>
      </w:r>
      <w:r w:rsidR="003821A9">
        <w:t>de montage d</w:t>
      </w:r>
      <w:r w:rsidR="00CC6870">
        <w:t xml:space="preserve">e dossier et </w:t>
      </w:r>
      <w:r w:rsidR="003A43AD">
        <w:t>pour rech</w:t>
      </w:r>
      <w:r w:rsidR="00CC6870">
        <w:t>e</w:t>
      </w:r>
      <w:r w:rsidR="003A43AD">
        <w:t>r</w:t>
      </w:r>
      <w:r w:rsidR="00CC6870">
        <w:t>cher les informations nécessaires.</w:t>
      </w:r>
    </w:p>
    <w:p w14:paraId="312587E0" w14:textId="74A06E5A" w:rsidR="006731FD" w:rsidRPr="001805B8" w:rsidRDefault="006731FD">
      <w:r>
        <w:t>Enfin, un autre point doit être mentionné</w:t>
      </w:r>
      <w:r w:rsidR="007F6316">
        <w:t xml:space="preserve"> : le représentant de l’OPQIBI a fait valoir que, compte tenu de l’évolution </w:t>
      </w:r>
      <w:r w:rsidR="00AE2404">
        <w:t xml:space="preserve">des règles de la commande publique, </w:t>
      </w:r>
      <w:r w:rsidR="005B0733">
        <w:t>les commandes d’études échappent aujourd’hui de plus en</w:t>
      </w:r>
      <w:r w:rsidR="00A124CD">
        <w:t xml:space="preserve"> plus aux équipes techniques da</w:t>
      </w:r>
      <w:r w:rsidR="005B0733">
        <w:t>ns les collectivité</w:t>
      </w:r>
      <w:r w:rsidR="00A124CD">
        <w:t>s</w:t>
      </w:r>
      <w:r w:rsidR="00D91540">
        <w:t>,</w:t>
      </w:r>
      <w:r w:rsidR="00A124CD">
        <w:t xml:space="preserve"> pour être gérées par des </w:t>
      </w:r>
      <w:r w:rsidR="00DE5042">
        <w:t>services spécialisés « achat</w:t>
      </w:r>
      <w:r w:rsidR="00A124CD">
        <w:t>s »</w:t>
      </w:r>
      <w:r w:rsidR="0096717A">
        <w:t>,</w:t>
      </w:r>
      <w:r w:rsidR="00D91540">
        <w:t xml:space="preserve"> </w:t>
      </w:r>
      <w:r w:rsidR="0096717A">
        <w:t xml:space="preserve">et </w:t>
      </w:r>
      <w:r w:rsidR="00D91540">
        <w:t xml:space="preserve">qui mobilisent </w:t>
      </w:r>
      <w:r w:rsidR="00737499">
        <w:t>un volet juridique important</w:t>
      </w:r>
      <w:r w:rsidR="00D91540">
        <w:t xml:space="preserve">. </w:t>
      </w:r>
      <w:r w:rsidR="00D91540" w:rsidRPr="00737499">
        <w:rPr>
          <w:i/>
        </w:rPr>
        <w:t>« Nous sommes de plus en plus face à des acheteurs</w:t>
      </w:r>
      <w:r w:rsidR="00737499">
        <w:t>, dira-t-il</w:t>
      </w:r>
      <w:r w:rsidR="00100893">
        <w:t xml:space="preserve">, </w:t>
      </w:r>
      <w:r w:rsidR="00100893" w:rsidRPr="00100893">
        <w:rPr>
          <w:i/>
        </w:rPr>
        <w:t xml:space="preserve">et non plus </w:t>
      </w:r>
      <w:r w:rsidR="004029BB">
        <w:rPr>
          <w:i/>
        </w:rPr>
        <w:t xml:space="preserve">à </w:t>
      </w:r>
      <w:r w:rsidR="00100893" w:rsidRPr="00100893">
        <w:rPr>
          <w:i/>
        </w:rPr>
        <w:t>des services techniques »</w:t>
      </w:r>
      <w:r w:rsidR="00737499">
        <w:t>.</w:t>
      </w:r>
      <w:r w:rsidR="00DE5042">
        <w:t xml:space="preserve"> </w:t>
      </w:r>
      <w:r w:rsidR="00100893">
        <w:t>De ce fait, les garanties offerte</w:t>
      </w:r>
      <w:r w:rsidR="004029BB">
        <w:t>s</w:t>
      </w:r>
      <w:r w:rsidR="00100893">
        <w:t xml:space="preserve"> par les critères de fiabilité, de probité et de robustesse mis en avant dans le premier </w:t>
      </w:r>
      <w:r w:rsidR="0096717A">
        <w:t>paquet de critères par la qualificatio</w:t>
      </w:r>
      <w:r w:rsidR="004029BB">
        <w:t>n prennent un relief particulier.</w:t>
      </w:r>
    </w:p>
    <w:p w14:paraId="6585A8A4" w14:textId="288DD8B6" w:rsidR="008E544C" w:rsidRDefault="00B44ADB" w:rsidP="008E544C">
      <w:pPr>
        <w:pStyle w:val="Titre1"/>
      </w:pPr>
      <w:r>
        <w:t>9 – Q</w:t>
      </w:r>
      <w:r w:rsidR="008E544C">
        <w:t>uelle</w:t>
      </w:r>
      <w:r>
        <w:t>s</w:t>
      </w:r>
      <w:r w:rsidR="008E544C">
        <w:t xml:space="preserve"> </w:t>
      </w:r>
      <w:r w:rsidR="00A867B6">
        <w:t>possibilités d’</w:t>
      </w:r>
      <w:r>
        <w:t>exigences de</w:t>
      </w:r>
      <w:r w:rsidR="008E544C">
        <w:t xml:space="preserve"> qualification pour la maîtrise d’ouvrage</w:t>
      </w:r>
      <w:r w:rsidR="00A867B6">
        <w:t> ?</w:t>
      </w:r>
    </w:p>
    <w:p w14:paraId="3914B2DD" w14:textId="063B611A" w:rsidR="00A61615" w:rsidRPr="005A6EE6" w:rsidRDefault="003D6B8C" w:rsidP="005A6EE6">
      <w:pPr>
        <w:pStyle w:val="Sous-titre"/>
      </w:pPr>
      <w:r>
        <w:t>Juridiquement l</w:t>
      </w:r>
      <w:r w:rsidR="005A6EE6" w:rsidRPr="005A6EE6">
        <w:t>a</w:t>
      </w:r>
      <w:r w:rsidR="0059535E" w:rsidRPr="005A6EE6">
        <w:t xml:space="preserve"> qualification</w:t>
      </w:r>
      <w:r w:rsidR="005A6EE6">
        <w:t xml:space="preserve"> peut être exigée</w:t>
      </w:r>
    </w:p>
    <w:p w14:paraId="273E7FAB" w14:textId="33041B6F" w:rsidR="002063A7" w:rsidRDefault="00A867B6">
      <w:r>
        <w:t xml:space="preserve">La question se pose alors de savoir quelles possibilités les commanditaires ont pour réclamer </w:t>
      </w:r>
      <w:r w:rsidR="00D11F54">
        <w:t xml:space="preserve">dans leurs appels d’offres </w:t>
      </w:r>
      <w:r>
        <w:t>une qualification de structures</w:t>
      </w:r>
      <w:r w:rsidR="0024201C">
        <w:t>.</w:t>
      </w:r>
    </w:p>
    <w:p w14:paraId="2F95A093" w14:textId="67F9A717" w:rsidR="0024201C" w:rsidRDefault="0024201C">
      <w:r>
        <w:t>Des maires présen</w:t>
      </w:r>
      <w:r w:rsidR="00D11F54">
        <w:t>ts expriment d’ailleurs le fait</w:t>
      </w:r>
      <w:r>
        <w:t xml:space="preserve"> qu’il f</w:t>
      </w:r>
      <w:r w:rsidR="00D11F54">
        <w:t>aut doter cette qualification d’un</w:t>
      </w:r>
      <w:r>
        <w:t xml:space="preserve"> caractère obligatoire.</w:t>
      </w:r>
    </w:p>
    <w:p w14:paraId="5773BCD6" w14:textId="31FBF7AF" w:rsidR="00365A92" w:rsidRDefault="00365A92">
      <w:r>
        <w:t>Or, aujourd’hui, un commanditaire peut d</w:t>
      </w:r>
      <w:r w:rsidR="00D11F54">
        <w:t>’ores</w:t>
      </w:r>
      <w:r>
        <w:t xml:space="preserve"> et déjà</w:t>
      </w:r>
      <w:r w:rsidR="00392F76">
        <w:t xml:space="preserve"> demander</w:t>
      </w:r>
      <w:r>
        <w:t xml:space="preserve"> une qualification professionnelle délivrée par un organisme indépendant (</w:t>
      </w:r>
      <w:r w:rsidR="00B10616">
        <w:t xml:space="preserve">arrêté du 29 mars 2016) ou à défaut </w:t>
      </w:r>
      <w:r w:rsidR="00392F76">
        <w:t xml:space="preserve">réclamer </w:t>
      </w:r>
      <w:r w:rsidR="00392F76" w:rsidRPr="00392F76">
        <w:rPr>
          <w:i/>
        </w:rPr>
        <w:t>« </w:t>
      </w:r>
      <w:r w:rsidR="00B10616" w:rsidRPr="00392F76">
        <w:rPr>
          <w:i/>
        </w:rPr>
        <w:t>tout moyen de preuve équivalent ainsi que les certificats établis dans d’autres États membres (de l’Europe</w:t>
      </w:r>
      <w:r w:rsidR="00392F76" w:rsidRPr="00392F76">
        <w:rPr>
          <w:i/>
        </w:rPr>
        <w:t> »</w:t>
      </w:r>
      <w:r w:rsidR="00B10616" w:rsidRPr="00392F76">
        <w:rPr>
          <w:i/>
        </w:rPr>
        <w:t>)</w:t>
      </w:r>
      <w:r w:rsidR="00B10616">
        <w:rPr>
          <w:rStyle w:val="Marquenotebasdepage"/>
        </w:rPr>
        <w:footnoteReference w:id="7"/>
      </w:r>
      <w:r w:rsidR="00B10616">
        <w:t>.</w:t>
      </w:r>
      <w:r w:rsidR="00D21358">
        <w:t xml:space="preserve"> De fait, un commanditaire a la possibilité de demander une telle qualification professionnelle même s’il doit aussi examiner les offres de bureaux d’études qui auraient des caractéristiques équivalentes aux critères de qualification.</w:t>
      </w:r>
    </w:p>
    <w:p w14:paraId="634D4277" w14:textId="229486BC" w:rsidR="00A61615" w:rsidRDefault="0059535E" w:rsidP="00A61615">
      <w:pPr>
        <w:pStyle w:val="Sous-titre"/>
      </w:pPr>
      <w:r>
        <w:t>Populariser la qualification des structures professionnelles</w:t>
      </w:r>
    </w:p>
    <w:p w14:paraId="10B59A76" w14:textId="24E522FF" w:rsidR="0069183A" w:rsidRDefault="00A61615">
      <w:r>
        <w:t>Reste à résoudre la question de la familiarisation des maîtres d’ouvrage avec la qualification professionn</w:t>
      </w:r>
      <w:r w:rsidR="005210E1">
        <w:t>elle. Le représentant de l’OPQU</w:t>
      </w:r>
      <w:r>
        <w:t>IB</w:t>
      </w:r>
      <w:r w:rsidR="005210E1">
        <w:t>I</w:t>
      </w:r>
      <w:r>
        <w:t xml:space="preserve"> témoigne de son expérience :</w:t>
      </w:r>
      <w:r w:rsidR="00E6402C">
        <w:t xml:space="preserve"> il faut sensibiliser les élus et les autres donneurs d’ordres et cela s’inscrit dans la durée.</w:t>
      </w:r>
    </w:p>
    <w:p w14:paraId="7B5AF568" w14:textId="0CEF16E3" w:rsidR="00E6402C" w:rsidRDefault="00E6402C">
      <w:r>
        <w:t xml:space="preserve">Il faut aussi y allouer des moyens : l’OPQIBI consacre une part substantielle de son budget à la communication afin d’expliquer les apports de la qualification, les garanties qu’elle offre, les méthodes </w:t>
      </w:r>
      <w:r w:rsidR="00174777">
        <w:t xml:space="preserve">qu’elle </w:t>
      </w:r>
      <w:r>
        <w:t>utilis</w:t>
      </w:r>
      <w:r w:rsidR="0097090D">
        <w:t>e et l</w:t>
      </w:r>
      <w:r w:rsidR="00174777">
        <w:t xml:space="preserve">es garanties apportées </w:t>
      </w:r>
      <w:r w:rsidR="008531FA">
        <w:t>par l</w:t>
      </w:r>
      <w:r w:rsidR="0097090D">
        <w:t>’accréditation du Cofrac.</w:t>
      </w:r>
    </w:p>
    <w:p w14:paraId="57F1C91B" w14:textId="22C31D0C" w:rsidR="0097090D" w:rsidRDefault="0097090D" w:rsidP="0097090D">
      <w:pPr>
        <w:pStyle w:val="Titre1"/>
      </w:pPr>
      <w:r>
        <w:t>10 – La question des jeunes structures qui débutent</w:t>
      </w:r>
    </w:p>
    <w:p w14:paraId="23B495B2" w14:textId="1DECCCDB" w:rsidR="002063A7" w:rsidRDefault="0097090D">
      <w:r>
        <w:t>Les jeunes structures</w:t>
      </w:r>
      <w:r w:rsidR="00B93E48">
        <w:t xml:space="preserve"> n’ont pas de référence à faire valoir, pas plus que de</w:t>
      </w:r>
      <w:r w:rsidR="007677C5">
        <w:t xml:space="preserve"> questionnaire « satisfaction-</w:t>
      </w:r>
      <w:r w:rsidR="00B93E48">
        <w:t>clients » à présenter.</w:t>
      </w:r>
    </w:p>
    <w:p w14:paraId="395A35F7" w14:textId="78EE925A" w:rsidR="00B93E48" w:rsidRDefault="00B93E48">
      <w:r>
        <w:t>Cette question a déjà surgi lors de l’enquête préalable par questionnaire.</w:t>
      </w:r>
    </w:p>
    <w:p w14:paraId="04BD9AF6" w14:textId="24BAB4A9" w:rsidR="00B93E48" w:rsidRDefault="00B93E48">
      <w:r>
        <w:t>Par ailleurs, le groupe de travail sur la qualification des structures s’est penché sur cette question puisqu’il est prévu</w:t>
      </w:r>
      <w:r w:rsidR="00595D51">
        <w:t xml:space="preserve"> de proposer une qualification probatoire pour les jeunes structures (un protocole est prévu sur trois années).</w:t>
      </w:r>
    </w:p>
    <w:p w14:paraId="46617B0E" w14:textId="5D014006" w:rsidR="00595D51" w:rsidRDefault="00595D51">
      <w:r>
        <w:t>Le représentant de l’OPQIBI rappelle par ailleurs que la norme prévoit cette possibilité de qualification probatoire.</w:t>
      </w:r>
    </w:p>
    <w:p w14:paraId="190B2E70" w14:textId="0FE0912E" w:rsidR="00595D51" w:rsidRDefault="00595D51">
      <w:r>
        <w:t>Cette procédure sera donc incluse</w:t>
      </w:r>
      <w:r w:rsidR="00064927">
        <w:t xml:space="preserve"> dans les standards de la qualification des structures.</w:t>
      </w:r>
    </w:p>
    <w:p w14:paraId="66D837C6" w14:textId="77777777" w:rsidR="00064927" w:rsidRDefault="00064927"/>
    <w:p w14:paraId="352E5AEB" w14:textId="4AF565FB" w:rsidR="00064927" w:rsidRDefault="00064927" w:rsidP="00064927">
      <w:pPr>
        <w:pStyle w:val="Titre1"/>
      </w:pPr>
      <w:r>
        <w:t>Conclusion</w:t>
      </w:r>
    </w:p>
    <w:p w14:paraId="01AB4076" w14:textId="77777777" w:rsidR="00CD50B7" w:rsidRDefault="0019707D" w:rsidP="0019707D">
      <w:r>
        <w:t>Le conseiller d’État a rappelé que l’urbanisme se fait aussi en dehors des urbanistes. Les banques influencent le territoire par leur soutien à certains investissements. Les agences immobilières contribuent par leurs choix à définir programmes et autres formes d’aménagement. La police édicte des règles en urbanisme pour faciliter la surveillance ou l’intervention des forces de l’ordre dans les îlots urba</w:t>
      </w:r>
      <w:r w:rsidR="00C86788">
        <w:t>ins</w:t>
      </w:r>
      <w:r w:rsidR="00F2776B">
        <w:t>…</w:t>
      </w:r>
    </w:p>
    <w:p w14:paraId="0CA1EF26" w14:textId="21D4AB43" w:rsidR="0019707D" w:rsidRDefault="00C86788" w:rsidP="0019707D">
      <w:r>
        <w:t>L’</w:t>
      </w:r>
      <w:r w:rsidR="0019707D">
        <w:t>élu d’une grande ville a par ailleurs rappelé le rôle croissant des investisseurs dans le montage des projets.</w:t>
      </w:r>
    </w:p>
    <w:p w14:paraId="3B603C1A" w14:textId="71A12E00" w:rsidR="0019707D" w:rsidRDefault="0019707D" w:rsidP="0019707D">
      <w:r>
        <w:t xml:space="preserve">Ces constats peuvent désoler certains urbanistes… Mais n’est-ce pas plutôt une incitation à la modestie que de reconnaître la complexité </w:t>
      </w:r>
      <w:r w:rsidR="00F2776B">
        <w:t>multi-scalaire</w:t>
      </w:r>
      <w:r>
        <w:t xml:space="preserve"> des processus urbains ?</w:t>
      </w:r>
    </w:p>
    <w:p w14:paraId="7D6C48AE" w14:textId="77777777" w:rsidR="00C86788" w:rsidRDefault="00C86788" w:rsidP="0019707D"/>
    <w:p w14:paraId="75EE8D3B" w14:textId="68B1BECD" w:rsidR="0019707D" w:rsidRDefault="0019707D" w:rsidP="0019707D">
      <w:r>
        <w:t xml:space="preserve">Christian Vigouroux a par ailleurs </w:t>
      </w:r>
      <w:r w:rsidR="00C86788" w:rsidRPr="00C86788">
        <w:t>évoqué</w:t>
      </w:r>
      <w:r>
        <w:t xml:space="preserve"> la théorie des « 5 R » qui font la qualité de la personne morale et qui, par conséquent, doivent être inclus dans tout processus de certification professionnelle.</w:t>
      </w:r>
    </w:p>
    <w:p w14:paraId="5BACFDD4" w14:textId="77777777" w:rsidR="0019707D" w:rsidRDefault="0019707D" w:rsidP="0019707D">
      <w:pPr>
        <w:pStyle w:val="Paragraphedeliste"/>
        <w:numPr>
          <w:ilvl w:val="0"/>
          <w:numId w:val="2"/>
        </w:numPr>
      </w:pPr>
      <w:r>
        <w:t xml:space="preserve">R comme </w:t>
      </w:r>
      <w:r w:rsidRPr="002C425F">
        <w:rPr>
          <w:i/>
        </w:rPr>
        <w:t>« réputation »</w:t>
      </w:r>
      <w:r>
        <w:t xml:space="preserve"> de la personne morale ;</w:t>
      </w:r>
    </w:p>
    <w:p w14:paraId="16928F5A" w14:textId="1DB0C199" w:rsidR="0019707D" w:rsidRDefault="0019707D" w:rsidP="0019707D">
      <w:pPr>
        <w:pStyle w:val="Paragraphedeliste"/>
        <w:numPr>
          <w:ilvl w:val="0"/>
          <w:numId w:val="2"/>
        </w:numPr>
      </w:pPr>
      <w:r>
        <w:t xml:space="preserve">R comme </w:t>
      </w:r>
      <w:r w:rsidRPr="002C425F">
        <w:rPr>
          <w:i/>
        </w:rPr>
        <w:t>« références »</w:t>
      </w:r>
      <w:r>
        <w:t xml:space="preserve"> avec ce que cela suppose de regard ou d’évaluation de la part observateurs</w:t>
      </w:r>
      <w:r w:rsidR="00F2776B">
        <w:t xml:space="preserve"> ext</w:t>
      </w:r>
      <w:r w:rsidR="00F123D3">
        <w:t>ernes</w:t>
      </w:r>
      <w:r>
        <w:t> ;</w:t>
      </w:r>
    </w:p>
    <w:p w14:paraId="0F92214D" w14:textId="77777777" w:rsidR="0019707D" w:rsidRDefault="0019707D" w:rsidP="0019707D">
      <w:pPr>
        <w:pStyle w:val="Paragraphedeliste"/>
        <w:numPr>
          <w:ilvl w:val="0"/>
          <w:numId w:val="2"/>
        </w:numPr>
      </w:pPr>
      <w:r>
        <w:t xml:space="preserve">R comme </w:t>
      </w:r>
      <w:r w:rsidRPr="002C425F">
        <w:rPr>
          <w:i/>
        </w:rPr>
        <w:t>« retenue »</w:t>
      </w:r>
      <w:r>
        <w:t>, c’est-à-dire savoir dire ce que l’on ne sait pas faire, être en situation de reconnaître ses limites ;</w:t>
      </w:r>
    </w:p>
    <w:p w14:paraId="741443E3" w14:textId="3938C0D1" w:rsidR="0019707D" w:rsidRDefault="0019707D" w:rsidP="0019707D">
      <w:pPr>
        <w:pStyle w:val="Paragraphedeliste"/>
        <w:numPr>
          <w:ilvl w:val="0"/>
          <w:numId w:val="2"/>
        </w:numPr>
      </w:pPr>
      <w:r>
        <w:t xml:space="preserve">R comme </w:t>
      </w:r>
      <w:r w:rsidRPr="00B6657A">
        <w:rPr>
          <w:i/>
        </w:rPr>
        <w:t>« reconnaissance »</w:t>
      </w:r>
      <w:r>
        <w:t>, par l’identification dans u</w:t>
      </w:r>
      <w:r w:rsidR="00F123D3">
        <w:t>n annuaire et l’évaluation par s</w:t>
      </w:r>
      <w:r>
        <w:t xml:space="preserve">es pairs ; </w:t>
      </w:r>
    </w:p>
    <w:p w14:paraId="487D4F27" w14:textId="77777777" w:rsidR="0019707D" w:rsidRDefault="0019707D" w:rsidP="0019707D">
      <w:pPr>
        <w:pStyle w:val="Paragraphedeliste"/>
        <w:numPr>
          <w:ilvl w:val="0"/>
          <w:numId w:val="2"/>
        </w:numPr>
      </w:pPr>
      <w:r>
        <w:t xml:space="preserve">R comme </w:t>
      </w:r>
      <w:r w:rsidRPr="00B6657A">
        <w:rPr>
          <w:i/>
        </w:rPr>
        <w:t>« responsabilisation »</w:t>
      </w:r>
      <w:r>
        <w:t>, qui est la base du devoir professionnel.</w:t>
      </w:r>
    </w:p>
    <w:p w14:paraId="0A527665" w14:textId="77777777" w:rsidR="0019707D" w:rsidRDefault="0019707D" w:rsidP="0019707D">
      <w:r>
        <w:t>Tout organisme  qualificateur doit prendre en compte ces critères. Il en va de sa réputation et de sa crédibilité.</w:t>
      </w:r>
    </w:p>
    <w:p w14:paraId="5149E7B8" w14:textId="77777777" w:rsidR="00F123D3" w:rsidRDefault="00F123D3" w:rsidP="0019707D"/>
    <w:p w14:paraId="1894B166" w14:textId="77777777" w:rsidR="0019707D" w:rsidRDefault="0019707D" w:rsidP="0019707D">
      <w:r>
        <w:t>Un organisme qualificateur doit par ailleurs veiller à l’objectivation de ses appréciations, et cela va bien entendu de pair avec sa totale indépendance, qualités inhérentes à l’accréditation Cofrac.</w:t>
      </w:r>
    </w:p>
    <w:p w14:paraId="1B664C15" w14:textId="19E4471C" w:rsidR="0019707D" w:rsidRDefault="0019707D" w:rsidP="0019707D">
      <w:r>
        <w:t>Si un organis</w:t>
      </w:r>
      <w:r w:rsidR="0042101C">
        <w:t>me qualificateur sait</w:t>
      </w:r>
      <w:r>
        <w:t xml:space="preserve"> se garder de </w:t>
      </w:r>
      <w:r w:rsidR="00F123D3">
        <w:t>toute subjectivité dans le mani</w:t>
      </w:r>
      <w:r w:rsidR="0042101C">
        <w:t>e</w:t>
      </w:r>
      <w:r w:rsidR="00F123D3">
        <w:t xml:space="preserve">ment </w:t>
      </w:r>
      <w:r>
        <w:t xml:space="preserve">de ces critères, cette nécessaire rigueur dans l’objectivation peut alors amener </w:t>
      </w:r>
      <w:r w:rsidR="0042101C">
        <w:t>à l’occasion le Conseil d’État</w:t>
      </w:r>
      <w:r>
        <w:t xml:space="preserve"> à se prononcer pour la reconnaissance de l’intérêt public de cette certification.</w:t>
      </w:r>
    </w:p>
    <w:p w14:paraId="6588CEFE" w14:textId="77777777" w:rsidR="0042101C" w:rsidRDefault="0042101C" w:rsidP="0019707D"/>
    <w:p w14:paraId="3E8173AE" w14:textId="77777777" w:rsidR="0019707D" w:rsidRDefault="0019707D" w:rsidP="0019707D">
      <w:r>
        <w:t xml:space="preserve">Enfin, et dans le même ordre d’idées, le conseiller d’État a évoqué le </w:t>
      </w:r>
      <w:r w:rsidRPr="00AC43D6">
        <w:rPr>
          <w:i/>
        </w:rPr>
        <w:t>« droit dur »</w:t>
      </w:r>
      <w:r>
        <w:t xml:space="preserve"> et le </w:t>
      </w:r>
      <w:r w:rsidRPr="00AC43D6">
        <w:rPr>
          <w:i/>
        </w:rPr>
        <w:t>« droit mou »</w:t>
      </w:r>
      <w:r>
        <w:t>. Le droit dur est celui instauré par le vote du législateur. Le droit mou est celui qui émerge des pratiques d’acteurs agissant dans l’intérêt général, mais non codifié. Les organismes qualificateurs sont dans cette dernière catégorie.</w:t>
      </w:r>
    </w:p>
    <w:p w14:paraId="073FC0F1" w14:textId="77777777" w:rsidR="0019707D" w:rsidRDefault="0019707D" w:rsidP="0019707D">
      <w:r>
        <w:t xml:space="preserve">Mais il a alors rappelé </w:t>
      </w:r>
      <w:r>
        <w:rPr>
          <w:i/>
        </w:rPr>
        <w:t>« </w:t>
      </w:r>
      <w:r w:rsidRPr="00AC43D6">
        <w:rPr>
          <w:i/>
        </w:rPr>
        <w:t>qu’il n’y avait rien de plus contraignant que le droit mou</w:t>
      </w:r>
      <w:r>
        <w:rPr>
          <w:i/>
        </w:rPr>
        <w:t> »</w:t>
      </w:r>
      <w:r>
        <w:t xml:space="preserve"> car il oblige à la rigueur et à la transparence.</w:t>
      </w:r>
    </w:p>
    <w:p w14:paraId="33D99227" w14:textId="77777777" w:rsidR="0019707D" w:rsidRDefault="0019707D" w:rsidP="0019707D"/>
    <w:p w14:paraId="64D64F02" w14:textId="77777777" w:rsidR="0019707D" w:rsidRPr="0019707D" w:rsidRDefault="0019707D" w:rsidP="0019707D"/>
    <w:sectPr w:rsidR="0019707D" w:rsidRPr="0019707D" w:rsidSect="00693E7D">
      <w:headerReference w:type="even" r:id="rId9"/>
      <w:headerReference w:type="default" r:id="rId10"/>
      <w:footerReference w:type="default" r:id="rId11"/>
      <w:pgSz w:w="11900" w:h="16840"/>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803C5" w14:textId="77777777" w:rsidR="0034744F" w:rsidRDefault="0034744F" w:rsidP="007A15DE">
      <w:pPr>
        <w:spacing w:after="0"/>
      </w:pPr>
      <w:r>
        <w:separator/>
      </w:r>
    </w:p>
  </w:endnote>
  <w:endnote w:type="continuationSeparator" w:id="0">
    <w:p w14:paraId="34F4C112" w14:textId="77777777" w:rsidR="0034744F" w:rsidRDefault="0034744F" w:rsidP="007A1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DBA3" w14:textId="509D8A96" w:rsidR="0034744F" w:rsidRPr="00F3238B" w:rsidRDefault="0034744F">
    <w:pPr>
      <w:pStyle w:val="Pieddepage"/>
      <w:rPr>
        <w:sz w:val="20"/>
        <w:szCs w:val="20"/>
      </w:rPr>
    </w:pPr>
    <w:r w:rsidRPr="008E2A1B">
      <w:rPr>
        <w:rFonts w:ascii="Comic Sans MS" w:hAnsi="Comic Sans MS"/>
        <w:b/>
        <w:sz w:val="20"/>
        <w:szCs w:val="20"/>
      </w:rPr>
      <w:t>OPQU</w:t>
    </w:r>
    <w:r>
      <w:rPr>
        <w:rFonts w:ascii="Comic Sans MS" w:hAnsi="Comic Sans MS"/>
        <w:i/>
        <w:sz w:val="20"/>
        <w:szCs w:val="20"/>
      </w:rPr>
      <w:t xml:space="preserve"> - BP 17165  - </w:t>
    </w:r>
    <w:r w:rsidRPr="00F3238B">
      <w:rPr>
        <w:rFonts w:ascii="Comic Sans MS" w:hAnsi="Comic Sans MS"/>
        <w:i/>
        <w:sz w:val="20"/>
        <w:szCs w:val="20"/>
      </w:rPr>
      <w:t xml:space="preserve"> 31671 – LABEGE Cedex.  </w:t>
    </w:r>
    <w:r>
      <w:rPr>
        <w:rFonts w:ascii="Comic Sans MS" w:hAnsi="Comic Sans MS"/>
        <w:i/>
        <w:sz w:val="20"/>
        <w:szCs w:val="20"/>
      </w:rPr>
      <w:t xml:space="preserve">           </w:t>
    </w:r>
    <w:r w:rsidRPr="00F3238B">
      <w:rPr>
        <w:rFonts w:ascii="Comic Sans MS" w:hAnsi="Comic Sans MS"/>
        <w:i/>
        <w:sz w:val="20"/>
        <w:szCs w:val="20"/>
      </w:rPr>
      <w:t xml:space="preserve">  </w:t>
    </w:r>
    <w:r w:rsidRPr="00F3238B">
      <w:rPr>
        <w:rFonts w:ascii="Comic Sans MS" w:hAnsi="Comic Sans MS"/>
        <w:i/>
        <w:sz w:val="20"/>
        <w:szCs w:val="20"/>
      </w:rPr>
      <w:tab/>
      <w:t>https://www.opqu.org/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4115" w14:textId="77777777" w:rsidR="0034744F" w:rsidRDefault="0034744F" w:rsidP="007A15DE">
      <w:pPr>
        <w:spacing w:after="0"/>
      </w:pPr>
      <w:r>
        <w:separator/>
      </w:r>
    </w:p>
  </w:footnote>
  <w:footnote w:type="continuationSeparator" w:id="0">
    <w:p w14:paraId="4E13931F" w14:textId="77777777" w:rsidR="0034744F" w:rsidRDefault="0034744F" w:rsidP="007A15DE">
      <w:pPr>
        <w:spacing w:after="0"/>
      </w:pPr>
      <w:r>
        <w:continuationSeparator/>
      </w:r>
    </w:p>
  </w:footnote>
  <w:footnote w:id="1">
    <w:p w14:paraId="2179C42C" w14:textId="45527A51" w:rsidR="0034744F" w:rsidRDefault="0034744F" w:rsidP="000727AF">
      <w:pPr>
        <w:pStyle w:val="Notedebasdepage"/>
      </w:pPr>
      <w:r>
        <w:rPr>
          <w:rStyle w:val="Marquenotebasdepage"/>
        </w:rPr>
        <w:footnoteRef/>
      </w:r>
      <w:r>
        <w:t xml:space="preserve">  Ce qui pose alors la question des jeunes structures qui ont peu d’expérience. Elle sera traitée plus loin.</w:t>
      </w:r>
    </w:p>
  </w:footnote>
  <w:footnote w:id="2">
    <w:p w14:paraId="0CE9D224" w14:textId="2F8A7FDF" w:rsidR="0034744F" w:rsidRDefault="0034744F">
      <w:pPr>
        <w:pStyle w:val="Notedebasdepage"/>
      </w:pPr>
      <w:r>
        <w:rPr>
          <w:rStyle w:val="Marquenotebasdepage"/>
        </w:rPr>
        <w:footnoteRef/>
      </w:r>
      <w:r>
        <w:t xml:space="preserve">  Nous verrons plus loin qu’il en est de même sur la question du dumping.</w:t>
      </w:r>
    </w:p>
  </w:footnote>
  <w:footnote w:id="3">
    <w:p w14:paraId="2D5506EC" w14:textId="6EEEFE05" w:rsidR="0034744F" w:rsidRDefault="0034744F">
      <w:pPr>
        <w:pStyle w:val="Notedebasdepage"/>
      </w:pPr>
      <w:r>
        <w:rPr>
          <w:rStyle w:val="Marquenotebasdepage"/>
        </w:rPr>
        <w:footnoteRef/>
      </w:r>
      <w:r>
        <w:t xml:space="preserve"> Cofrac : </w:t>
      </w:r>
      <w:r w:rsidRPr="000C35C2">
        <w:t>https://www.cofrac.fr/</w:t>
      </w:r>
    </w:p>
  </w:footnote>
  <w:footnote w:id="4">
    <w:p w14:paraId="0958DE73" w14:textId="315A4E63" w:rsidR="0034744F" w:rsidRDefault="0034744F">
      <w:pPr>
        <w:pStyle w:val="Notedebasdepage"/>
      </w:pPr>
      <w:r>
        <w:rPr>
          <w:rStyle w:val="Marquenotebasdepage"/>
        </w:rPr>
        <w:footnoteRef/>
      </w:r>
      <w:r>
        <w:t xml:space="preserve">  Cf. supra. Point N°1.</w:t>
      </w:r>
    </w:p>
  </w:footnote>
  <w:footnote w:id="5">
    <w:p w14:paraId="74D9B537" w14:textId="54431E3C" w:rsidR="0034744F" w:rsidRDefault="0034744F">
      <w:pPr>
        <w:pStyle w:val="Notedebasdepage"/>
      </w:pPr>
      <w:r>
        <w:rPr>
          <w:rStyle w:val="Marquenotebasdepage"/>
        </w:rPr>
        <w:footnoteRef/>
      </w:r>
      <w:r>
        <w:t xml:space="preserve">  Idem.</w:t>
      </w:r>
    </w:p>
  </w:footnote>
  <w:footnote w:id="6">
    <w:p w14:paraId="483E633B" w14:textId="541231D9" w:rsidR="0034744F" w:rsidRDefault="0034744F">
      <w:pPr>
        <w:pStyle w:val="Notedebasdepage"/>
      </w:pPr>
      <w:r>
        <w:rPr>
          <w:rStyle w:val="Marquenotebasdepage"/>
        </w:rPr>
        <w:footnoteRef/>
      </w:r>
      <w:r>
        <w:t xml:space="preserve"> Le Référentiel-métier, dont le nom complet est </w:t>
      </w:r>
      <w:r w:rsidRPr="006A43DD">
        <w:rPr>
          <w:i/>
        </w:rPr>
        <w:t>« Le métier d’urbaniste, domaines d’activité, fonctions et compétences »</w:t>
      </w:r>
      <w:r>
        <w:rPr>
          <w:i/>
        </w:rPr>
        <w:t>,</w:t>
      </w:r>
      <w:r w:rsidRPr="006A43DD">
        <w:t xml:space="preserve"> a été publié par l’OPQU en 2006.</w:t>
      </w:r>
      <w:r>
        <w:t xml:space="preserve"> Il recense les différents champs d’exercice de l’urbanisme et décrit les différentes pratiques des professionnels. Cf. </w:t>
      </w:r>
      <w:hyperlink r:id="rId1" w:history="1">
        <w:r w:rsidRPr="00A92992">
          <w:rPr>
            <w:rStyle w:val="Lienhypertexte"/>
          </w:rPr>
          <w:t>https://www.opqu.org/production-de-lopqu/le-referentiel-metier.html</w:t>
        </w:r>
      </w:hyperlink>
    </w:p>
    <w:p w14:paraId="12F42131" w14:textId="77777777" w:rsidR="0034744F" w:rsidRDefault="0034744F">
      <w:pPr>
        <w:pStyle w:val="Notedebasdepage"/>
      </w:pPr>
    </w:p>
  </w:footnote>
  <w:footnote w:id="7">
    <w:p w14:paraId="06EE5A4D" w14:textId="12AFA60D" w:rsidR="0034744F" w:rsidRDefault="0034744F">
      <w:pPr>
        <w:pStyle w:val="Notedebasdepage"/>
      </w:pPr>
      <w:r>
        <w:rPr>
          <w:rStyle w:val="Marquenotebasdepage"/>
        </w:rPr>
        <w:footnoteRef/>
      </w:r>
      <w:r>
        <w:t xml:space="preserve">  Article 3, 12° de l’arrêté du 29 mars 2016 ans fixant la liste des renseignements et des documents pouvant être demandé aux candidats aux marchés publics.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5007" w14:textId="77777777" w:rsidR="0034744F" w:rsidRDefault="0034744F" w:rsidP="00477A0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7A05E6" w14:textId="77777777" w:rsidR="0034744F" w:rsidRDefault="0034744F" w:rsidP="00477A06">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9B0F" w14:textId="77777777" w:rsidR="0034744F" w:rsidRDefault="0034744F" w:rsidP="00477A0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45669">
      <w:rPr>
        <w:rStyle w:val="Numrodepage"/>
        <w:noProof/>
      </w:rPr>
      <w:t>1</w:t>
    </w:r>
    <w:r>
      <w:rPr>
        <w:rStyle w:val="Numrodepage"/>
      </w:rPr>
      <w:fldChar w:fldCharType="end"/>
    </w:r>
  </w:p>
  <w:p w14:paraId="5F3A0696" w14:textId="77777777" w:rsidR="0034744F" w:rsidRDefault="0034744F" w:rsidP="00477A06">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F39"/>
    <w:multiLevelType w:val="hybridMultilevel"/>
    <w:tmpl w:val="994A1D4A"/>
    <w:lvl w:ilvl="0" w:tplc="4048594E">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6B058B"/>
    <w:multiLevelType w:val="hybridMultilevel"/>
    <w:tmpl w:val="CC10FAA4"/>
    <w:lvl w:ilvl="0" w:tplc="92089F82">
      <w:start w:val="6"/>
      <w:numFmt w:val="bullet"/>
      <w:lvlText w:val="–"/>
      <w:lvlJc w:val="left"/>
      <w:pPr>
        <w:ind w:left="420" w:hanging="360"/>
      </w:pPr>
      <w:rPr>
        <w:rFonts w:ascii="Arial" w:eastAsiaTheme="minorEastAsia" w:hAnsi="Arial"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14"/>
    <w:rsid w:val="00004DD6"/>
    <w:rsid w:val="000136C8"/>
    <w:rsid w:val="0001509F"/>
    <w:rsid w:val="000231AB"/>
    <w:rsid w:val="00036156"/>
    <w:rsid w:val="00043947"/>
    <w:rsid w:val="000443DA"/>
    <w:rsid w:val="000456A5"/>
    <w:rsid w:val="00061057"/>
    <w:rsid w:val="00064927"/>
    <w:rsid w:val="000654D8"/>
    <w:rsid w:val="00070836"/>
    <w:rsid w:val="000727AF"/>
    <w:rsid w:val="00075203"/>
    <w:rsid w:val="00076D94"/>
    <w:rsid w:val="0007751A"/>
    <w:rsid w:val="00077ABF"/>
    <w:rsid w:val="00080730"/>
    <w:rsid w:val="00086A86"/>
    <w:rsid w:val="000B65B0"/>
    <w:rsid w:val="000B6C22"/>
    <w:rsid w:val="000B7902"/>
    <w:rsid w:val="000C0679"/>
    <w:rsid w:val="000C0D1E"/>
    <w:rsid w:val="000C35C2"/>
    <w:rsid w:val="000D0C2D"/>
    <w:rsid w:val="000D2328"/>
    <w:rsid w:val="000D431E"/>
    <w:rsid w:val="000F355F"/>
    <w:rsid w:val="000F43EA"/>
    <w:rsid w:val="00100893"/>
    <w:rsid w:val="00102BA9"/>
    <w:rsid w:val="0010702F"/>
    <w:rsid w:val="00107D0D"/>
    <w:rsid w:val="001116B8"/>
    <w:rsid w:val="00117A1C"/>
    <w:rsid w:val="00117C05"/>
    <w:rsid w:val="00126F21"/>
    <w:rsid w:val="00141877"/>
    <w:rsid w:val="0014286D"/>
    <w:rsid w:val="0017243A"/>
    <w:rsid w:val="00174777"/>
    <w:rsid w:val="001805B8"/>
    <w:rsid w:val="00190B1D"/>
    <w:rsid w:val="00196990"/>
    <w:rsid w:val="0019707D"/>
    <w:rsid w:val="001A3A05"/>
    <w:rsid w:val="001B1998"/>
    <w:rsid w:val="001B5404"/>
    <w:rsid w:val="001C4288"/>
    <w:rsid w:val="001D209C"/>
    <w:rsid w:val="001D2DD1"/>
    <w:rsid w:val="001E005E"/>
    <w:rsid w:val="001E2486"/>
    <w:rsid w:val="001E4A0A"/>
    <w:rsid w:val="001F780F"/>
    <w:rsid w:val="00202EA7"/>
    <w:rsid w:val="00205ED6"/>
    <w:rsid w:val="002063A7"/>
    <w:rsid w:val="00221ACD"/>
    <w:rsid w:val="0022341B"/>
    <w:rsid w:val="00226E1F"/>
    <w:rsid w:val="00226EF1"/>
    <w:rsid w:val="00231905"/>
    <w:rsid w:val="002369B1"/>
    <w:rsid w:val="00241AE0"/>
    <w:rsid w:val="00241F8E"/>
    <w:rsid w:val="0024201C"/>
    <w:rsid w:val="00243511"/>
    <w:rsid w:val="00245AD5"/>
    <w:rsid w:val="002471B8"/>
    <w:rsid w:val="0025023A"/>
    <w:rsid w:val="002604F1"/>
    <w:rsid w:val="00262424"/>
    <w:rsid w:val="00266133"/>
    <w:rsid w:val="00266D26"/>
    <w:rsid w:val="002706A8"/>
    <w:rsid w:val="00270AFD"/>
    <w:rsid w:val="00271A2F"/>
    <w:rsid w:val="00273EEA"/>
    <w:rsid w:val="0029618D"/>
    <w:rsid w:val="002A63B9"/>
    <w:rsid w:val="002B252D"/>
    <w:rsid w:val="002B3E9B"/>
    <w:rsid w:val="002B6D93"/>
    <w:rsid w:val="002C0388"/>
    <w:rsid w:val="002C0838"/>
    <w:rsid w:val="002F05E8"/>
    <w:rsid w:val="002F58A4"/>
    <w:rsid w:val="00301882"/>
    <w:rsid w:val="00310EA2"/>
    <w:rsid w:val="00314AAD"/>
    <w:rsid w:val="003168EF"/>
    <w:rsid w:val="00325D94"/>
    <w:rsid w:val="00344A17"/>
    <w:rsid w:val="0034744F"/>
    <w:rsid w:val="003514F6"/>
    <w:rsid w:val="003532DE"/>
    <w:rsid w:val="00353D0B"/>
    <w:rsid w:val="0036219C"/>
    <w:rsid w:val="00365A92"/>
    <w:rsid w:val="00372065"/>
    <w:rsid w:val="003821A9"/>
    <w:rsid w:val="00392F76"/>
    <w:rsid w:val="003932C7"/>
    <w:rsid w:val="00394EAA"/>
    <w:rsid w:val="003A39F9"/>
    <w:rsid w:val="003A43AD"/>
    <w:rsid w:val="003B18A5"/>
    <w:rsid w:val="003C0130"/>
    <w:rsid w:val="003C23D4"/>
    <w:rsid w:val="003D6B8C"/>
    <w:rsid w:val="003E2D39"/>
    <w:rsid w:val="003E4585"/>
    <w:rsid w:val="003F2E91"/>
    <w:rsid w:val="003F3389"/>
    <w:rsid w:val="003F405B"/>
    <w:rsid w:val="003F6D91"/>
    <w:rsid w:val="004029BB"/>
    <w:rsid w:val="00414B51"/>
    <w:rsid w:val="0042101C"/>
    <w:rsid w:val="00421531"/>
    <w:rsid w:val="00423351"/>
    <w:rsid w:val="004239B5"/>
    <w:rsid w:val="0043635F"/>
    <w:rsid w:val="004378E2"/>
    <w:rsid w:val="00440E41"/>
    <w:rsid w:val="00444B3E"/>
    <w:rsid w:val="00445C52"/>
    <w:rsid w:val="004465F1"/>
    <w:rsid w:val="00456367"/>
    <w:rsid w:val="00461E6B"/>
    <w:rsid w:val="00462C93"/>
    <w:rsid w:val="00477A06"/>
    <w:rsid w:val="0048143C"/>
    <w:rsid w:val="0048734E"/>
    <w:rsid w:val="00494817"/>
    <w:rsid w:val="00496F74"/>
    <w:rsid w:val="0049797D"/>
    <w:rsid w:val="004A190B"/>
    <w:rsid w:val="004A6AD5"/>
    <w:rsid w:val="004B1E37"/>
    <w:rsid w:val="004C0EE3"/>
    <w:rsid w:val="004C2BCF"/>
    <w:rsid w:val="004C718D"/>
    <w:rsid w:val="004D47B4"/>
    <w:rsid w:val="004D4816"/>
    <w:rsid w:val="004E7BF6"/>
    <w:rsid w:val="004F0023"/>
    <w:rsid w:val="0051482F"/>
    <w:rsid w:val="00514BB8"/>
    <w:rsid w:val="005210E1"/>
    <w:rsid w:val="00533347"/>
    <w:rsid w:val="00534C87"/>
    <w:rsid w:val="00537E08"/>
    <w:rsid w:val="00542ED7"/>
    <w:rsid w:val="00544D19"/>
    <w:rsid w:val="00551A10"/>
    <w:rsid w:val="00572AD1"/>
    <w:rsid w:val="00577584"/>
    <w:rsid w:val="0059535E"/>
    <w:rsid w:val="00595D51"/>
    <w:rsid w:val="005A179C"/>
    <w:rsid w:val="005A4C93"/>
    <w:rsid w:val="005A6EE6"/>
    <w:rsid w:val="005B0733"/>
    <w:rsid w:val="005B3DBD"/>
    <w:rsid w:val="005C0311"/>
    <w:rsid w:val="005D22AB"/>
    <w:rsid w:val="005D2536"/>
    <w:rsid w:val="005D2737"/>
    <w:rsid w:val="005D6DC2"/>
    <w:rsid w:val="005F11D8"/>
    <w:rsid w:val="005F3C2B"/>
    <w:rsid w:val="006009F6"/>
    <w:rsid w:val="00603C6D"/>
    <w:rsid w:val="00610567"/>
    <w:rsid w:val="00625D46"/>
    <w:rsid w:val="00626FB4"/>
    <w:rsid w:val="006321BA"/>
    <w:rsid w:val="00633A5E"/>
    <w:rsid w:val="00635FC6"/>
    <w:rsid w:val="00637598"/>
    <w:rsid w:val="00642D17"/>
    <w:rsid w:val="00647441"/>
    <w:rsid w:val="00650319"/>
    <w:rsid w:val="00653D7D"/>
    <w:rsid w:val="0065700A"/>
    <w:rsid w:val="0066229D"/>
    <w:rsid w:val="00665C8B"/>
    <w:rsid w:val="006731FD"/>
    <w:rsid w:val="00675D03"/>
    <w:rsid w:val="006912CA"/>
    <w:rsid w:val="0069183A"/>
    <w:rsid w:val="00693E7D"/>
    <w:rsid w:val="006A43DD"/>
    <w:rsid w:val="006C7CA4"/>
    <w:rsid w:val="00700E93"/>
    <w:rsid w:val="0070301F"/>
    <w:rsid w:val="00714D60"/>
    <w:rsid w:val="00717C16"/>
    <w:rsid w:val="00725C55"/>
    <w:rsid w:val="00736980"/>
    <w:rsid w:val="00736BDB"/>
    <w:rsid w:val="00737499"/>
    <w:rsid w:val="00740460"/>
    <w:rsid w:val="00755C10"/>
    <w:rsid w:val="0075650B"/>
    <w:rsid w:val="0075775A"/>
    <w:rsid w:val="007604E4"/>
    <w:rsid w:val="007677C5"/>
    <w:rsid w:val="00772431"/>
    <w:rsid w:val="007763C7"/>
    <w:rsid w:val="00784136"/>
    <w:rsid w:val="00784E4A"/>
    <w:rsid w:val="00786FC7"/>
    <w:rsid w:val="00794F46"/>
    <w:rsid w:val="007977D0"/>
    <w:rsid w:val="007A15DE"/>
    <w:rsid w:val="007A1862"/>
    <w:rsid w:val="007A3F9E"/>
    <w:rsid w:val="007A72E8"/>
    <w:rsid w:val="007B636D"/>
    <w:rsid w:val="007D05FD"/>
    <w:rsid w:val="007D0A17"/>
    <w:rsid w:val="007D2925"/>
    <w:rsid w:val="007D2D72"/>
    <w:rsid w:val="007D4C42"/>
    <w:rsid w:val="007E0563"/>
    <w:rsid w:val="007E2CC9"/>
    <w:rsid w:val="007E5D26"/>
    <w:rsid w:val="007F6316"/>
    <w:rsid w:val="007F6AB8"/>
    <w:rsid w:val="008029D9"/>
    <w:rsid w:val="00804DDD"/>
    <w:rsid w:val="008077CF"/>
    <w:rsid w:val="008105E0"/>
    <w:rsid w:val="00811364"/>
    <w:rsid w:val="00813580"/>
    <w:rsid w:val="008165C0"/>
    <w:rsid w:val="00841EE5"/>
    <w:rsid w:val="008503B8"/>
    <w:rsid w:val="00850F0C"/>
    <w:rsid w:val="008531FA"/>
    <w:rsid w:val="00854567"/>
    <w:rsid w:val="00867D7F"/>
    <w:rsid w:val="00872860"/>
    <w:rsid w:val="0087501E"/>
    <w:rsid w:val="008829E1"/>
    <w:rsid w:val="00895825"/>
    <w:rsid w:val="008B19EF"/>
    <w:rsid w:val="008B1FC9"/>
    <w:rsid w:val="008C5EFE"/>
    <w:rsid w:val="008D3804"/>
    <w:rsid w:val="008E2A1B"/>
    <w:rsid w:val="008E544C"/>
    <w:rsid w:val="008E6455"/>
    <w:rsid w:val="0090159D"/>
    <w:rsid w:val="0090161D"/>
    <w:rsid w:val="00913AAB"/>
    <w:rsid w:val="00913FAC"/>
    <w:rsid w:val="00922D50"/>
    <w:rsid w:val="00922D61"/>
    <w:rsid w:val="009266E7"/>
    <w:rsid w:val="00930288"/>
    <w:rsid w:val="00932A1C"/>
    <w:rsid w:val="0093389B"/>
    <w:rsid w:val="009462DD"/>
    <w:rsid w:val="009612D5"/>
    <w:rsid w:val="0096717A"/>
    <w:rsid w:val="0096769F"/>
    <w:rsid w:val="009700B4"/>
    <w:rsid w:val="0097090D"/>
    <w:rsid w:val="0097618F"/>
    <w:rsid w:val="00986121"/>
    <w:rsid w:val="00993415"/>
    <w:rsid w:val="009A2F5C"/>
    <w:rsid w:val="009C1A1F"/>
    <w:rsid w:val="009C5700"/>
    <w:rsid w:val="009E0E89"/>
    <w:rsid w:val="009F6F8A"/>
    <w:rsid w:val="00A03B78"/>
    <w:rsid w:val="00A04D8B"/>
    <w:rsid w:val="00A124CD"/>
    <w:rsid w:val="00A241A8"/>
    <w:rsid w:val="00A25F97"/>
    <w:rsid w:val="00A45327"/>
    <w:rsid w:val="00A4588A"/>
    <w:rsid w:val="00A542AA"/>
    <w:rsid w:val="00A61615"/>
    <w:rsid w:val="00A70036"/>
    <w:rsid w:val="00A72E01"/>
    <w:rsid w:val="00A84524"/>
    <w:rsid w:val="00A867B6"/>
    <w:rsid w:val="00AA6872"/>
    <w:rsid w:val="00AB1FBC"/>
    <w:rsid w:val="00AB6D7F"/>
    <w:rsid w:val="00AB76DF"/>
    <w:rsid w:val="00AD130B"/>
    <w:rsid w:val="00AE2404"/>
    <w:rsid w:val="00AE4275"/>
    <w:rsid w:val="00AF3921"/>
    <w:rsid w:val="00AF780E"/>
    <w:rsid w:val="00B06844"/>
    <w:rsid w:val="00B10616"/>
    <w:rsid w:val="00B2099F"/>
    <w:rsid w:val="00B226BC"/>
    <w:rsid w:val="00B24222"/>
    <w:rsid w:val="00B249D2"/>
    <w:rsid w:val="00B31870"/>
    <w:rsid w:val="00B32C3B"/>
    <w:rsid w:val="00B42F9A"/>
    <w:rsid w:val="00B44023"/>
    <w:rsid w:val="00B44ADB"/>
    <w:rsid w:val="00B45CB0"/>
    <w:rsid w:val="00B57B17"/>
    <w:rsid w:val="00B653F6"/>
    <w:rsid w:val="00B71E9D"/>
    <w:rsid w:val="00B93E48"/>
    <w:rsid w:val="00B97C05"/>
    <w:rsid w:val="00BA6115"/>
    <w:rsid w:val="00BA78C8"/>
    <w:rsid w:val="00BB17B4"/>
    <w:rsid w:val="00BC3A04"/>
    <w:rsid w:val="00BC53A3"/>
    <w:rsid w:val="00BD01B9"/>
    <w:rsid w:val="00BD0E42"/>
    <w:rsid w:val="00BE0B13"/>
    <w:rsid w:val="00BE3A6C"/>
    <w:rsid w:val="00BE55CD"/>
    <w:rsid w:val="00BF0FA5"/>
    <w:rsid w:val="00BF1017"/>
    <w:rsid w:val="00BF7DD7"/>
    <w:rsid w:val="00C036DD"/>
    <w:rsid w:val="00C13A6A"/>
    <w:rsid w:val="00C163B8"/>
    <w:rsid w:val="00C20DD3"/>
    <w:rsid w:val="00C310D2"/>
    <w:rsid w:val="00C3348C"/>
    <w:rsid w:val="00C44019"/>
    <w:rsid w:val="00C44BD8"/>
    <w:rsid w:val="00C44CB0"/>
    <w:rsid w:val="00C47165"/>
    <w:rsid w:val="00C50A76"/>
    <w:rsid w:val="00C52E09"/>
    <w:rsid w:val="00C55101"/>
    <w:rsid w:val="00C55548"/>
    <w:rsid w:val="00C62905"/>
    <w:rsid w:val="00C63686"/>
    <w:rsid w:val="00C7508D"/>
    <w:rsid w:val="00C86788"/>
    <w:rsid w:val="00C93933"/>
    <w:rsid w:val="00CA4131"/>
    <w:rsid w:val="00CA54EA"/>
    <w:rsid w:val="00CC0E36"/>
    <w:rsid w:val="00CC4B34"/>
    <w:rsid w:val="00CC6870"/>
    <w:rsid w:val="00CC6EEB"/>
    <w:rsid w:val="00CD166B"/>
    <w:rsid w:val="00CD50B7"/>
    <w:rsid w:val="00CE0DD0"/>
    <w:rsid w:val="00CE3AE5"/>
    <w:rsid w:val="00CE4FB3"/>
    <w:rsid w:val="00CF26F2"/>
    <w:rsid w:val="00CF2CD8"/>
    <w:rsid w:val="00CF5184"/>
    <w:rsid w:val="00D11F54"/>
    <w:rsid w:val="00D13DE8"/>
    <w:rsid w:val="00D13F84"/>
    <w:rsid w:val="00D15B7B"/>
    <w:rsid w:val="00D21358"/>
    <w:rsid w:val="00D227BA"/>
    <w:rsid w:val="00D237EB"/>
    <w:rsid w:val="00D27354"/>
    <w:rsid w:val="00D312D9"/>
    <w:rsid w:val="00D36F4C"/>
    <w:rsid w:val="00D40262"/>
    <w:rsid w:val="00D45669"/>
    <w:rsid w:val="00D50CF7"/>
    <w:rsid w:val="00D53DF7"/>
    <w:rsid w:val="00D551C6"/>
    <w:rsid w:val="00D55641"/>
    <w:rsid w:val="00D56359"/>
    <w:rsid w:val="00D64EC6"/>
    <w:rsid w:val="00D66EE4"/>
    <w:rsid w:val="00D7051F"/>
    <w:rsid w:val="00D7512F"/>
    <w:rsid w:val="00D876A0"/>
    <w:rsid w:val="00D91540"/>
    <w:rsid w:val="00DA0D91"/>
    <w:rsid w:val="00DB339D"/>
    <w:rsid w:val="00DB4381"/>
    <w:rsid w:val="00DB4A3A"/>
    <w:rsid w:val="00DB7987"/>
    <w:rsid w:val="00DC3CAA"/>
    <w:rsid w:val="00DD23D3"/>
    <w:rsid w:val="00DD6CE8"/>
    <w:rsid w:val="00DE5042"/>
    <w:rsid w:val="00DF2824"/>
    <w:rsid w:val="00DF344B"/>
    <w:rsid w:val="00DF6314"/>
    <w:rsid w:val="00E0056E"/>
    <w:rsid w:val="00E129BA"/>
    <w:rsid w:val="00E234CC"/>
    <w:rsid w:val="00E238DB"/>
    <w:rsid w:val="00E2598C"/>
    <w:rsid w:val="00E30F5D"/>
    <w:rsid w:val="00E50938"/>
    <w:rsid w:val="00E53831"/>
    <w:rsid w:val="00E6257B"/>
    <w:rsid w:val="00E630DB"/>
    <w:rsid w:val="00E6402C"/>
    <w:rsid w:val="00E6608F"/>
    <w:rsid w:val="00E674C2"/>
    <w:rsid w:val="00E72FE6"/>
    <w:rsid w:val="00E822BD"/>
    <w:rsid w:val="00E919A4"/>
    <w:rsid w:val="00E92886"/>
    <w:rsid w:val="00E946CD"/>
    <w:rsid w:val="00E96CA9"/>
    <w:rsid w:val="00EA7525"/>
    <w:rsid w:val="00EB0A2B"/>
    <w:rsid w:val="00EC42C1"/>
    <w:rsid w:val="00ED1E42"/>
    <w:rsid w:val="00ED21C6"/>
    <w:rsid w:val="00ED4DEE"/>
    <w:rsid w:val="00EE55C7"/>
    <w:rsid w:val="00EF6D24"/>
    <w:rsid w:val="00F01874"/>
    <w:rsid w:val="00F02E49"/>
    <w:rsid w:val="00F123D3"/>
    <w:rsid w:val="00F130DB"/>
    <w:rsid w:val="00F148A3"/>
    <w:rsid w:val="00F148F0"/>
    <w:rsid w:val="00F21869"/>
    <w:rsid w:val="00F2776B"/>
    <w:rsid w:val="00F30D01"/>
    <w:rsid w:val="00F3163B"/>
    <w:rsid w:val="00F3238B"/>
    <w:rsid w:val="00F33A16"/>
    <w:rsid w:val="00F40E58"/>
    <w:rsid w:val="00F42BD7"/>
    <w:rsid w:val="00F536DA"/>
    <w:rsid w:val="00F60CCC"/>
    <w:rsid w:val="00F65D98"/>
    <w:rsid w:val="00F7455E"/>
    <w:rsid w:val="00F754AD"/>
    <w:rsid w:val="00F82AE2"/>
    <w:rsid w:val="00F84057"/>
    <w:rsid w:val="00F9290A"/>
    <w:rsid w:val="00FA4A03"/>
    <w:rsid w:val="00FA4C6C"/>
    <w:rsid w:val="00FB0B6C"/>
    <w:rsid w:val="00FB3E1B"/>
    <w:rsid w:val="00FB6E23"/>
    <w:rsid w:val="00FC34FE"/>
    <w:rsid w:val="00FD03BA"/>
    <w:rsid w:val="00FD2861"/>
    <w:rsid w:val="00FD488D"/>
    <w:rsid w:val="00FD7A13"/>
    <w:rsid w:val="00FE21F5"/>
    <w:rsid w:val="00FE4CE9"/>
    <w:rsid w:val="00FF1901"/>
    <w:rsid w:val="00FF2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7E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AB"/>
    <w:pPr>
      <w:spacing w:after="60"/>
      <w:jc w:val="both"/>
    </w:pPr>
    <w:rPr>
      <w:rFonts w:ascii="Arial" w:hAnsi="Arial"/>
    </w:rPr>
  </w:style>
  <w:style w:type="paragraph" w:styleId="Titre1">
    <w:name w:val="heading 1"/>
    <w:basedOn w:val="Normal"/>
    <w:next w:val="Normal"/>
    <w:link w:val="Titre1Car"/>
    <w:uiPriority w:val="9"/>
    <w:qFormat/>
    <w:rsid w:val="00F130DB"/>
    <w:pPr>
      <w:keepNext/>
      <w:keepLines/>
      <w:spacing w:before="480" w:after="240"/>
      <w:outlineLvl w:val="0"/>
    </w:pPr>
    <w:rPr>
      <w:rFonts w:eastAsiaTheme="majorEastAsia" w:cstheme="majorBidi"/>
      <w:b/>
      <w:bCs/>
      <w:sz w:val="32"/>
      <w:szCs w:val="32"/>
      <w:u w:val="single"/>
    </w:rPr>
  </w:style>
  <w:style w:type="paragraph" w:styleId="Titre2">
    <w:name w:val="heading 2"/>
    <w:basedOn w:val="Normal"/>
    <w:next w:val="Normal"/>
    <w:link w:val="Titre2Car"/>
    <w:uiPriority w:val="9"/>
    <w:unhideWhenUsed/>
    <w:qFormat/>
    <w:rsid w:val="00270AFD"/>
    <w:pPr>
      <w:keepNext/>
      <w:keepLines/>
      <w:spacing w:before="240" w:after="12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30DB"/>
    <w:rPr>
      <w:rFonts w:ascii="Arial" w:eastAsiaTheme="majorEastAsia" w:hAnsi="Arial" w:cstheme="majorBidi"/>
      <w:b/>
      <w:bCs/>
      <w:sz w:val="32"/>
      <w:szCs w:val="32"/>
      <w:u w:val="single"/>
    </w:rPr>
  </w:style>
  <w:style w:type="character" w:customStyle="1" w:styleId="Titre2Car">
    <w:name w:val="Titre 2 Car"/>
    <w:basedOn w:val="Policepardfaut"/>
    <w:link w:val="Titre2"/>
    <w:uiPriority w:val="9"/>
    <w:rsid w:val="00270AFD"/>
    <w:rPr>
      <w:rFonts w:ascii="Arial" w:eastAsiaTheme="majorEastAsia" w:hAnsi="Arial" w:cstheme="majorBidi"/>
      <w:b/>
      <w:bCs/>
      <w:sz w:val="26"/>
      <w:szCs w:val="26"/>
    </w:rPr>
  </w:style>
  <w:style w:type="paragraph" w:styleId="Sous-titre">
    <w:name w:val="Subtitle"/>
    <w:basedOn w:val="Normal"/>
    <w:next w:val="Normal"/>
    <w:link w:val="Sous-titreCar"/>
    <w:uiPriority w:val="11"/>
    <w:qFormat/>
    <w:rsid w:val="00F3238B"/>
    <w:pPr>
      <w:numPr>
        <w:ilvl w:val="1"/>
      </w:numPr>
      <w:spacing w:before="240"/>
      <w:ind w:left="340"/>
    </w:pPr>
    <w:rPr>
      <w:rFonts w:ascii="Arial Narrow" w:eastAsiaTheme="majorEastAsia" w:hAnsi="Arial Narrow" w:cstheme="majorBidi"/>
      <w:b/>
      <w:i/>
      <w:iCs/>
      <w:color w:val="000090"/>
      <w:spacing w:val="15"/>
    </w:rPr>
  </w:style>
  <w:style w:type="character" w:customStyle="1" w:styleId="Sous-titreCar">
    <w:name w:val="Sous-titre Car"/>
    <w:basedOn w:val="Policepardfaut"/>
    <w:link w:val="Sous-titre"/>
    <w:uiPriority w:val="11"/>
    <w:rsid w:val="00F3238B"/>
    <w:rPr>
      <w:rFonts w:ascii="Arial Narrow" w:eastAsiaTheme="majorEastAsia" w:hAnsi="Arial Narrow" w:cstheme="majorBidi"/>
      <w:b/>
      <w:i/>
      <w:iCs/>
      <w:color w:val="000090"/>
      <w:spacing w:val="15"/>
    </w:rPr>
  </w:style>
  <w:style w:type="paragraph" w:styleId="Notedebasdepage">
    <w:name w:val="footnote text"/>
    <w:basedOn w:val="Normal"/>
    <w:link w:val="NotedebasdepageCar"/>
    <w:uiPriority w:val="99"/>
    <w:unhideWhenUsed/>
    <w:rsid w:val="000727AF"/>
    <w:pPr>
      <w:spacing w:after="0"/>
    </w:pPr>
    <w:rPr>
      <w:rFonts w:ascii="Arial Narrow" w:hAnsi="Arial Narrow"/>
      <w:sz w:val="20"/>
    </w:rPr>
  </w:style>
  <w:style w:type="character" w:customStyle="1" w:styleId="NotedebasdepageCar">
    <w:name w:val="Note de bas de page Car"/>
    <w:basedOn w:val="Policepardfaut"/>
    <w:link w:val="Notedebasdepage"/>
    <w:uiPriority w:val="99"/>
    <w:rsid w:val="000727AF"/>
    <w:rPr>
      <w:rFonts w:ascii="Arial Narrow" w:hAnsi="Arial Narrow"/>
      <w:sz w:val="20"/>
    </w:rPr>
  </w:style>
  <w:style w:type="character" w:styleId="Marquenotebasdepage">
    <w:name w:val="footnote reference"/>
    <w:basedOn w:val="Policepardfaut"/>
    <w:uiPriority w:val="99"/>
    <w:unhideWhenUsed/>
    <w:rsid w:val="007A15DE"/>
    <w:rPr>
      <w:vertAlign w:val="superscript"/>
    </w:rPr>
  </w:style>
  <w:style w:type="paragraph" w:styleId="En-tte">
    <w:name w:val="header"/>
    <w:basedOn w:val="Normal"/>
    <w:link w:val="En-tteCar"/>
    <w:uiPriority w:val="99"/>
    <w:unhideWhenUsed/>
    <w:rsid w:val="00477A06"/>
    <w:pPr>
      <w:tabs>
        <w:tab w:val="center" w:pos="4536"/>
        <w:tab w:val="right" w:pos="9072"/>
      </w:tabs>
      <w:spacing w:after="0"/>
    </w:pPr>
  </w:style>
  <w:style w:type="character" w:customStyle="1" w:styleId="En-tteCar">
    <w:name w:val="En-tête Car"/>
    <w:basedOn w:val="Policepardfaut"/>
    <w:link w:val="En-tte"/>
    <w:uiPriority w:val="99"/>
    <w:rsid w:val="00477A06"/>
    <w:rPr>
      <w:rFonts w:ascii="Arial" w:hAnsi="Arial"/>
    </w:rPr>
  </w:style>
  <w:style w:type="character" w:styleId="Numrodepage">
    <w:name w:val="page number"/>
    <w:basedOn w:val="Policepardfaut"/>
    <w:uiPriority w:val="99"/>
    <w:semiHidden/>
    <w:unhideWhenUsed/>
    <w:rsid w:val="00477A06"/>
  </w:style>
  <w:style w:type="character" w:styleId="Lienhypertexte">
    <w:name w:val="Hyperlink"/>
    <w:basedOn w:val="Policepardfaut"/>
    <w:uiPriority w:val="99"/>
    <w:unhideWhenUsed/>
    <w:rsid w:val="000C35C2"/>
    <w:rPr>
      <w:color w:val="0000FF" w:themeColor="hyperlink"/>
      <w:u w:val="single"/>
    </w:rPr>
  </w:style>
  <w:style w:type="paragraph" w:styleId="Paragraphedeliste">
    <w:name w:val="List Paragraph"/>
    <w:basedOn w:val="Normal"/>
    <w:uiPriority w:val="34"/>
    <w:qFormat/>
    <w:rsid w:val="00117A1C"/>
    <w:pPr>
      <w:ind w:left="720"/>
      <w:contextualSpacing/>
    </w:pPr>
  </w:style>
  <w:style w:type="paragraph" w:styleId="Pieddepage">
    <w:name w:val="footer"/>
    <w:basedOn w:val="Normal"/>
    <w:link w:val="PieddepageCar"/>
    <w:uiPriority w:val="99"/>
    <w:unhideWhenUsed/>
    <w:rsid w:val="000F355F"/>
    <w:pPr>
      <w:tabs>
        <w:tab w:val="center" w:pos="4536"/>
        <w:tab w:val="right" w:pos="9072"/>
      </w:tabs>
      <w:spacing w:after="0"/>
    </w:pPr>
  </w:style>
  <w:style w:type="character" w:customStyle="1" w:styleId="PieddepageCar">
    <w:name w:val="Pied de page Car"/>
    <w:basedOn w:val="Policepardfaut"/>
    <w:link w:val="Pieddepage"/>
    <w:uiPriority w:val="99"/>
    <w:rsid w:val="000F355F"/>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AB"/>
    <w:pPr>
      <w:spacing w:after="60"/>
      <w:jc w:val="both"/>
    </w:pPr>
    <w:rPr>
      <w:rFonts w:ascii="Arial" w:hAnsi="Arial"/>
    </w:rPr>
  </w:style>
  <w:style w:type="paragraph" w:styleId="Titre1">
    <w:name w:val="heading 1"/>
    <w:basedOn w:val="Normal"/>
    <w:next w:val="Normal"/>
    <w:link w:val="Titre1Car"/>
    <w:uiPriority w:val="9"/>
    <w:qFormat/>
    <w:rsid w:val="00F130DB"/>
    <w:pPr>
      <w:keepNext/>
      <w:keepLines/>
      <w:spacing w:before="480" w:after="240"/>
      <w:outlineLvl w:val="0"/>
    </w:pPr>
    <w:rPr>
      <w:rFonts w:eastAsiaTheme="majorEastAsia" w:cstheme="majorBidi"/>
      <w:b/>
      <w:bCs/>
      <w:sz w:val="32"/>
      <w:szCs w:val="32"/>
      <w:u w:val="single"/>
    </w:rPr>
  </w:style>
  <w:style w:type="paragraph" w:styleId="Titre2">
    <w:name w:val="heading 2"/>
    <w:basedOn w:val="Normal"/>
    <w:next w:val="Normal"/>
    <w:link w:val="Titre2Car"/>
    <w:uiPriority w:val="9"/>
    <w:unhideWhenUsed/>
    <w:qFormat/>
    <w:rsid w:val="00270AFD"/>
    <w:pPr>
      <w:keepNext/>
      <w:keepLines/>
      <w:spacing w:before="240" w:after="12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30DB"/>
    <w:rPr>
      <w:rFonts w:ascii="Arial" w:eastAsiaTheme="majorEastAsia" w:hAnsi="Arial" w:cstheme="majorBidi"/>
      <w:b/>
      <w:bCs/>
      <w:sz w:val="32"/>
      <w:szCs w:val="32"/>
      <w:u w:val="single"/>
    </w:rPr>
  </w:style>
  <w:style w:type="character" w:customStyle="1" w:styleId="Titre2Car">
    <w:name w:val="Titre 2 Car"/>
    <w:basedOn w:val="Policepardfaut"/>
    <w:link w:val="Titre2"/>
    <w:uiPriority w:val="9"/>
    <w:rsid w:val="00270AFD"/>
    <w:rPr>
      <w:rFonts w:ascii="Arial" w:eastAsiaTheme="majorEastAsia" w:hAnsi="Arial" w:cstheme="majorBidi"/>
      <w:b/>
      <w:bCs/>
      <w:sz w:val="26"/>
      <w:szCs w:val="26"/>
    </w:rPr>
  </w:style>
  <w:style w:type="paragraph" w:styleId="Sous-titre">
    <w:name w:val="Subtitle"/>
    <w:basedOn w:val="Normal"/>
    <w:next w:val="Normal"/>
    <w:link w:val="Sous-titreCar"/>
    <w:uiPriority w:val="11"/>
    <w:qFormat/>
    <w:rsid w:val="00F3238B"/>
    <w:pPr>
      <w:numPr>
        <w:ilvl w:val="1"/>
      </w:numPr>
      <w:spacing w:before="240"/>
      <w:ind w:left="340"/>
    </w:pPr>
    <w:rPr>
      <w:rFonts w:ascii="Arial Narrow" w:eastAsiaTheme="majorEastAsia" w:hAnsi="Arial Narrow" w:cstheme="majorBidi"/>
      <w:b/>
      <w:i/>
      <w:iCs/>
      <w:color w:val="000090"/>
      <w:spacing w:val="15"/>
    </w:rPr>
  </w:style>
  <w:style w:type="character" w:customStyle="1" w:styleId="Sous-titreCar">
    <w:name w:val="Sous-titre Car"/>
    <w:basedOn w:val="Policepardfaut"/>
    <w:link w:val="Sous-titre"/>
    <w:uiPriority w:val="11"/>
    <w:rsid w:val="00F3238B"/>
    <w:rPr>
      <w:rFonts w:ascii="Arial Narrow" w:eastAsiaTheme="majorEastAsia" w:hAnsi="Arial Narrow" w:cstheme="majorBidi"/>
      <w:b/>
      <w:i/>
      <w:iCs/>
      <w:color w:val="000090"/>
      <w:spacing w:val="15"/>
    </w:rPr>
  </w:style>
  <w:style w:type="paragraph" w:styleId="Notedebasdepage">
    <w:name w:val="footnote text"/>
    <w:basedOn w:val="Normal"/>
    <w:link w:val="NotedebasdepageCar"/>
    <w:uiPriority w:val="99"/>
    <w:unhideWhenUsed/>
    <w:rsid w:val="000727AF"/>
    <w:pPr>
      <w:spacing w:after="0"/>
    </w:pPr>
    <w:rPr>
      <w:rFonts w:ascii="Arial Narrow" w:hAnsi="Arial Narrow"/>
      <w:sz w:val="20"/>
    </w:rPr>
  </w:style>
  <w:style w:type="character" w:customStyle="1" w:styleId="NotedebasdepageCar">
    <w:name w:val="Note de bas de page Car"/>
    <w:basedOn w:val="Policepardfaut"/>
    <w:link w:val="Notedebasdepage"/>
    <w:uiPriority w:val="99"/>
    <w:rsid w:val="000727AF"/>
    <w:rPr>
      <w:rFonts w:ascii="Arial Narrow" w:hAnsi="Arial Narrow"/>
      <w:sz w:val="20"/>
    </w:rPr>
  </w:style>
  <w:style w:type="character" w:styleId="Marquenotebasdepage">
    <w:name w:val="footnote reference"/>
    <w:basedOn w:val="Policepardfaut"/>
    <w:uiPriority w:val="99"/>
    <w:unhideWhenUsed/>
    <w:rsid w:val="007A15DE"/>
    <w:rPr>
      <w:vertAlign w:val="superscript"/>
    </w:rPr>
  </w:style>
  <w:style w:type="paragraph" w:styleId="En-tte">
    <w:name w:val="header"/>
    <w:basedOn w:val="Normal"/>
    <w:link w:val="En-tteCar"/>
    <w:uiPriority w:val="99"/>
    <w:unhideWhenUsed/>
    <w:rsid w:val="00477A06"/>
    <w:pPr>
      <w:tabs>
        <w:tab w:val="center" w:pos="4536"/>
        <w:tab w:val="right" w:pos="9072"/>
      </w:tabs>
      <w:spacing w:after="0"/>
    </w:pPr>
  </w:style>
  <w:style w:type="character" w:customStyle="1" w:styleId="En-tteCar">
    <w:name w:val="En-tête Car"/>
    <w:basedOn w:val="Policepardfaut"/>
    <w:link w:val="En-tte"/>
    <w:uiPriority w:val="99"/>
    <w:rsid w:val="00477A06"/>
    <w:rPr>
      <w:rFonts w:ascii="Arial" w:hAnsi="Arial"/>
    </w:rPr>
  </w:style>
  <w:style w:type="character" w:styleId="Numrodepage">
    <w:name w:val="page number"/>
    <w:basedOn w:val="Policepardfaut"/>
    <w:uiPriority w:val="99"/>
    <w:semiHidden/>
    <w:unhideWhenUsed/>
    <w:rsid w:val="00477A06"/>
  </w:style>
  <w:style w:type="character" w:styleId="Lienhypertexte">
    <w:name w:val="Hyperlink"/>
    <w:basedOn w:val="Policepardfaut"/>
    <w:uiPriority w:val="99"/>
    <w:unhideWhenUsed/>
    <w:rsid w:val="000C35C2"/>
    <w:rPr>
      <w:color w:val="0000FF" w:themeColor="hyperlink"/>
      <w:u w:val="single"/>
    </w:rPr>
  </w:style>
  <w:style w:type="paragraph" w:styleId="Paragraphedeliste">
    <w:name w:val="List Paragraph"/>
    <w:basedOn w:val="Normal"/>
    <w:uiPriority w:val="34"/>
    <w:qFormat/>
    <w:rsid w:val="00117A1C"/>
    <w:pPr>
      <w:ind w:left="720"/>
      <w:contextualSpacing/>
    </w:pPr>
  </w:style>
  <w:style w:type="paragraph" w:styleId="Pieddepage">
    <w:name w:val="footer"/>
    <w:basedOn w:val="Normal"/>
    <w:link w:val="PieddepageCar"/>
    <w:uiPriority w:val="99"/>
    <w:unhideWhenUsed/>
    <w:rsid w:val="000F355F"/>
    <w:pPr>
      <w:tabs>
        <w:tab w:val="center" w:pos="4536"/>
        <w:tab w:val="right" w:pos="9072"/>
      </w:tabs>
      <w:spacing w:after="0"/>
    </w:pPr>
  </w:style>
  <w:style w:type="character" w:customStyle="1" w:styleId="PieddepageCar">
    <w:name w:val="Pied de page Car"/>
    <w:basedOn w:val="Policepardfaut"/>
    <w:link w:val="Pieddepage"/>
    <w:uiPriority w:val="99"/>
    <w:rsid w:val="000F35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pqu.org/production-de-lopqu/le-referentiel-metie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4928</Words>
  <Characters>27110</Characters>
  <Application>Microsoft Macintosh Word</Application>
  <DocSecurity>0</DocSecurity>
  <Lines>225</Lines>
  <Paragraphs>63</Paragraphs>
  <ScaleCrop>false</ScaleCrop>
  <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Galléty</dc:creator>
  <cp:keywords/>
  <dc:description/>
  <cp:lastModifiedBy>Jean-Claude Galléty</cp:lastModifiedBy>
  <cp:revision>18</cp:revision>
  <cp:lastPrinted>2019-01-09T08:29:00Z</cp:lastPrinted>
  <dcterms:created xsi:type="dcterms:W3CDTF">2018-12-23T10:49:00Z</dcterms:created>
  <dcterms:modified xsi:type="dcterms:W3CDTF">2019-01-09T08:32:00Z</dcterms:modified>
</cp:coreProperties>
</file>